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99A9" w14:textId="77777777" w:rsidR="00884E31" w:rsidRPr="00EB10B0" w:rsidRDefault="00884E31" w:rsidP="00884E31">
      <w:pPr>
        <w:tabs>
          <w:tab w:val="left" w:pos="2730"/>
        </w:tabs>
        <w:jc w:val="center"/>
        <w:rPr>
          <w:b/>
        </w:rPr>
      </w:pPr>
      <w:bookmarkStart w:id="0" w:name="_Hlk152762653"/>
      <w:r w:rsidRPr="00EB10B0">
        <w:rPr>
          <w:noProof/>
          <w:lang w:eastAsia="sq-AL"/>
        </w:rPr>
        <w:drawing>
          <wp:anchor distT="0" distB="0" distL="114300" distR="114300" simplePos="0" relativeHeight="251659264" behindDoc="0" locked="0" layoutInCell="1" allowOverlap="1" wp14:anchorId="3DABC631" wp14:editId="01DF111C">
            <wp:simplePos x="0" y="0"/>
            <wp:positionH relativeFrom="column">
              <wp:posOffset>-45720</wp:posOffset>
            </wp:positionH>
            <wp:positionV relativeFrom="paragraph">
              <wp:posOffset>-862965</wp:posOffset>
            </wp:positionV>
            <wp:extent cx="6124575" cy="1028065"/>
            <wp:effectExtent l="0" t="0" r="0" b="0"/>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5">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7AFA8" w14:textId="77777777" w:rsidR="00884E31" w:rsidRPr="00EB10B0" w:rsidRDefault="00884E31" w:rsidP="00884E31">
      <w:pPr>
        <w:tabs>
          <w:tab w:val="left" w:pos="2730"/>
        </w:tabs>
        <w:jc w:val="center"/>
        <w:rPr>
          <w:b/>
        </w:rPr>
      </w:pPr>
      <w:r w:rsidRPr="00EB10B0">
        <w:rPr>
          <w:b/>
        </w:rPr>
        <w:t>MINISTRIA E ARSIMIT DHE SPORTIT</w:t>
      </w:r>
    </w:p>
    <w:p w14:paraId="26FA698B" w14:textId="77777777" w:rsidR="00884E31" w:rsidRPr="0016172D" w:rsidRDefault="00884E31" w:rsidP="00884E31">
      <w:pPr>
        <w:tabs>
          <w:tab w:val="left" w:pos="2730"/>
        </w:tabs>
        <w:jc w:val="center"/>
        <w:rPr>
          <w:b/>
          <w:sz w:val="22"/>
          <w:szCs w:val="22"/>
        </w:rPr>
      </w:pPr>
      <w:r w:rsidRPr="0016172D">
        <w:rPr>
          <w:b/>
          <w:sz w:val="22"/>
          <w:szCs w:val="22"/>
        </w:rPr>
        <w:t>DREJTORIA E PËRGJITHSHME E ARSIMIT PARAUNIVERSITAR</w:t>
      </w:r>
    </w:p>
    <w:p w14:paraId="6FAFC519" w14:textId="77777777" w:rsidR="00884E31" w:rsidRPr="00EB10B0" w:rsidRDefault="00884E31" w:rsidP="00884E31">
      <w:pPr>
        <w:rPr>
          <w:b/>
          <w:bCs/>
          <w:smallCaps/>
          <w:color w:val="000000"/>
        </w:rPr>
      </w:pPr>
    </w:p>
    <w:p w14:paraId="4529347C" w14:textId="77777777" w:rsidR="00884E31" w:rsidRPr="00EB10B0" w:rsidRDefault="00884E31" w:rsidP="00884E31">
      <w:pPr>
        <w:tabs>
          <w:tab w:val="left" w:pos="2730"/>
        </w:tabs>
      </w:pPr>
      <w:r w:rsidRPr="00EB10B0">
        <w:t xml:space="preserve">Nr._____ prot. </w:t>
      </w:r>
      <w:r>
        <w:tab/>
      </w:r>
      <w:r>
        <w:tab/>
      </w:r>
      <w:r>
        <w:tab/>
      </w:r>
      <w:r>
        <w:tab/>
      </w:r>
      <w:r>
        <w:tab/>
      </w:r>
      <w:r>
        <w:tab/>
      </w:r>
      <w:r>
        <w:tab/>
        <w:t xml:space="preserve"> </w:t>
      </w:r>
      <w:r w:rsidRPr="00EB10B0">
        <w:t>Tiranë, më ___.___.2023</w:t>
      </w:r>
    </w:p>
    <w:p w14:paraId="58CF622C" w14:textId="77777777" w:rsidR="00884E31" w:rsidRPr="00EB10B0" w:rsidRDefault="00884E31" w:rsidP="00884E31">
      <w:pPr>
        <w:jc w:val="center"/>
        <w:rPr>
          <w:b/>
          <w:color w:val="000000" w:themeColor="text1"/>
        </w:rPr>
      </w:pPr>
    </w:p>
    <w:p w14:paraId="26F605C2" w14:textId="77777777" w:rsidR="00884E31" w:rsidRPr="00EB10B0" w:rsidRDefault="00884E31" w:rsidP="0016172D">
      <w:pPr>
        <w:pStyle w:val="Akti"/>
        <w:spacing w:after="120"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LISTË VERIFIKIMi</w:t>
      </w:r>
    </w:p>
    <w:p w14:paraId="474799CD" w14:textId="77777777" w:rsidR="00884E31" w:rsidRPr="00EB10B0" w:rsidRDefault="00884E31" w:rsidP="0016172D">
      <w:pPr>
        <w:pStyle w:val="Akti"/>
        <w:spacing w:after="120"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pËr</w:t>
      </w:r>
    </w:p>
    <w:p w14:paraId="20E41B66" w14:textId="1612078E" w:rsidR="00884E31" w:rsidRPr="00027FA3" w:rsidRDefault="00884E31" w:rsidP="00884E31">
      <w:pPr>
        <w:pStyle w:val="Akti"/>
        <w:jc w:val="both"/>
        <w:rPr>
          <w:rFonts w:ascii="Times New Roman" w:hAnsi="Times New Roman" w:cs="Times New Roman"/>
          <w:b w:val="0"/>
          <w:bCs w:val="0"/>
          <w:color w:val="auto"/>
          <w:sz w:val="24"/>
          <w:szCs w:val="24"/>
          <w:lang w:val="sq-AL"/>
        </w:rPr>
      </w:pPr>
      <w:r>
        <w:rPr>
          <w:rFonts w:ascii="Times New Roman" w:hAnsi="Times New Roman" w:cs="Times New Roman"/>
          <w:b w:val="0"/>
          <w:bCs w:val="0"/>
          <w:caps w:val="0"/>
          <w:color w:val="auto"/>
          <w:sz w:val="24"/>
          <w:szCs w:val="24"/>
          <w:lang w:val="sq-AL"/>
        </w:rPr>
        <w:t xml:space="preserve">Hapjen dhe mbylljen e institucioneve arsimore </w:t>
      </w:r>
      <w:proofErr w:type="spellStart"/>
      <w:r>
        <w:rPr>
          <w:rFonts w:ascii="Times New Roman" w:hAnsi="Times New Roman" w:cs="Times New Roman"/>
          <w:b w:val="0"/>
          <w:bCs w:val="0"/>
          <w:caps w:val="0"/>
          <w:color w:val="auto"/>
          <w:sz w:val="24"/>
          <w:szCs w:val="24"/>
          <w:lang w:val="sq-AL"/>
        </w:rPr>
        <w:t>parauniversitare</w:t>
      </w:r>
      <w:proofErr w:type="spellEnd"/>
      <w:r>
        <w:rPr>
          <w:rFonts w:ascii="Times New Roman" w:hAnsi="Times New Roman" w:cs="Times New Roman"/>
          <w:b w:val="0"/>
          <w:bCs w:val="0"/>
          <w:caps w:val="0"/>
          <w:color w:val="auto"/>
          <w:sz w:val="24"/>
          <w:szCs w:val="24"/>
          <w:lang w:val="sq-AL"/>
        </w:rPr>
        <w:t xml:space="preserve"> private,</w:t>
      </w:r>
      <w:r w:rsidRPr="00027FA3">
        <w:rPr>
          <w:rFonts w:ascii="Times New Roman" w:hAnsi="Times New Roman" w:cs="Times New Roman"/>
          <w:b w:val="0"/>
          <w:bCs w:val="0"/>
          <w:caps w:val="0"/>
          <w:color w:val="auto"/>
          <w:sz w:val="24"/>
          <w:szCs w:val="24"/>
          <w:lang w:val="sq-AL"/>
        </w:rPr>
        <w:t xml:space="preserve"> Ligji </w:t>
      </w:r>
      <w:r w:rsidRPr="00027FA3">
        <w:rPr>
          <w:rFonts w:ascii="Times New Roman" w:hAnsi="Times New Roman" w:cs="Times New Roman"/>
          <w:b w:val="0"/>
          <w:bCs w:val="0"/>
          <w:caps w:val="0"/>
          <w:sz w:val="24"/>
          <w:szCs w:val="24"/>
          <w:lang w:val="sq-AL"/>
        </w:rPr>
        <w:t xml:space="preserve">Nr. 69/2012 “Për Sistemin Arsimor </w:t>
      </w:r>
      <w:proofErr w:type="spellStart"/>
      <w:r w:rsidRPr="00027FA3">
        <w:rPr>
          <w:rFonts w:ascii="Times New Roman" w:hAnsi="Times New Roman" w:cs="Times New Roman"/>
          <w:b w:val="0"/>
          <w:bCs w:val="0"/>
          <w:caps w:val="0"/>
          <w:sz w:val="24"/>
          <w:szCs w:val="24"/>
          <w:lang w:val="sq-AL"/>
        </w:rPr>
        <w:t>Parauniversitar</w:t>
      </w:r>
      <w:proofErr w:type="spellEnd"/>
      <w:r w:rsidRPr="00027FA3">
        <w:rPr>
          <w:rFonts w:ascii="Times New Roman" w:hAnsi="Times New Roman" w:cs="Times New Roman"/>
          <w:b w:val="0"/>
          <w:bCs w:val="0"/>
          <w:caps w:val="0"/>
          <w:sz w:val="24"/>
          <w:szCs w:val="24"/>
          <w:lang w:val="sq-AL"/>
        </w:rPr>
        <w:t xml:space="preserve"> </w:t>
      </w:r>
      <w:r>
        <w:rPr>
          <w:rFonts w:ascii="Times New Roman" w:hAnsi="Times New Roman" w:cs="Times New Roman"/>
          <w:b w:val="0"/>
          <w:bCs w:val="0"/>
          <w:caps w:val="0"/>
          <w:sz w:val="24"/>
          <w:szCs w:val="24"/>
          <w:lang w:val="sq-AL"/>
        </w:rPr>
        <w:t>n</w:t>
      </w:r>
      <w:r w:rsidRPr="00027FA3">
        <w:rPr>
          <w:rFonts w:ascii="Times New Roman" w:hAnsi="Times New Roman" w:cs="Times New Roman"/>
          <w:b w:val="0"/>
          <w:bCs w:val="0"/>
          <w:caps w:val="0"/>
          <w:sz w:val="24"/>
          <w:szCs w:val="24"/>
          <w:lang w:val="sq-AL"/>
        </w:rPr>
        <w:t xml:space="preserve">ë Republikën </w:t>
      </w:r>
      <w:r>
        <w:rPr>
          <w:rFonts w:ascii="Times New Roman" w:hAnsi="Times New Roman" w:cs="Times New Roman"/>
          <w:b w:val="0"/>
          <w:bCs w:val="0"/>
          <w:caps w:val="0"/>
          <w:sz w:val="24"/>
          <w:szCs w:val="24"/>
          <w:lang w:val="sq-AL"/>
        </w:rPr>
        <w:t>e</w:t>
      </w:r>
      <w:r w:rsidRPr="00027FA3">
        <w:rPr>
          <w:rFonts w:ascii="Times New Roman" w:hAnsi="Times New Roman" w:cs="Times New Roman"/>
          <w:b w:val="0"/>
          <w:bCs w:val="0"/>
          <w:caps w:val="0"/>
          <w:sz w:val="24"/>
          <w:szCs w:val="24"/>
          <w:lang w:val="sq-AL"/>
        </w:rPr>
        <w:t xml:space="preserve"> Shqipërisë”, </w:t>
      </w:r>
      <w:r>
        <w:rPr>
          <w:rFonts w:ascii="Times New Roman" w:hAnsi="Times New Roman" w:cs="Times New Roman"/>
          <w:b w:val="0"/>
          <w:bCs w:val="0"/>
          <w:caps w:val="0"/>
          <w:sz w:val="24"/>
          <w:szCs w:val="24"/>
          <w:lang w:val="sq-AL"/>
        </w:rPr>
        <w:t>n</w:t>
      </w:r>
      <w:r w:rsidRPr="00027FA3">
        <w:rPr>
          <w:rFonts w:ascii="Times New Roman" w:hAnsi="Times New Roman" w:cs="Times New Roman"/>
          <w:b w:val="0"/>
          <w:bCs w:val="0"/>
          <w:caps w:val="0"/>
          <w:sz w:val="24"/>
          <w:szCs w:val="24"/>
          <w:lang w:val="sq-AL"/>
        </w:rPr>
        <w:t xml:space="preserve">dryshuar </w:t>
      </w:r>
      <w:r>
        <w:rPr>
          <w:rFonts w:ascii="Times New Roman" w:hAnsi="Times New Roman" w:cs="Times New Roman"/>
          <w:b w:val="0"/>
          <w:bCs w:val="0"/>
          <w:caps w:val="0"/>
          <w:sz w:val="24"/>
          <w:szCs w:val="24"/>
          <w:lang w:val="sq-AL"/>
        </w:rPr>
        <w:t>m</w:t>
      </w:r>
      <w:r w:rsidRPr="00027FA3">
        <w:rPr>
          <w:rFonts w:ascii="Times New Roman" w:hAnsi="Times New Roman" w:cs="Times New Roman"/>
          <w:b w:val="0"/>
          <w:bCs w:val="0"/>
          <w:caps w:val="0"/>
          <w:sz w:val="24"/>
          <w:szCs w:val="24"/>
          <w:lang w:val="sq-AL"/>
        </w:rPr>
        <w:t xml:space="preserve">e Ligjin Nr. 56/2015,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 xml:space="preserve">atë 28.5.2015; Nr. 48/2018,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 xml:space="preserve">atë 23.7.2018; 44/2023,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atë 15.6.2023)</w:t>
      </w:r>
    </w:p>
    <w:p w14:paraId="69FBEE4B" w14:textId="77777777" w:rsidR="00884E31" w:rsidRDefault="00884E31" w:rsidP="00884E31">
      <w:pPr>
        <w:rPr>
          <w:b/>
        </w:rPr>
      </w:pPr>
    </w:p>
    <w:p w14:paraId="00F1B613" w14:textId="77777777" w:rsidR="00884E31" w:rsidRPr="00EB10B0" w:rsidRDefault="00884E31" w:rsidP="0016172D">
      <w:pPr>
        <w:spacing w:after="120"/>
        <w:rPr>
          <w:b/>
        </w:rPr>
      </w:pPr>
      <w:r w:rsidRPr="00EB10B0">
        <w:rPr>
          <w:b/>
        </w:rPr>
        <w:t>Subjekti:_____________________________________ Nr. NIPT ______________________</w:t>
      </w:r>
    </w:p>
    <w:p w14:paraId="53E2AFEC" w14:textId="77777777" w:rsidR="00884E31" w:rsidRPr="00EB10B0" w:rsidRDefault="00884E31" w:rsidP="0016172D">
      <w:pPr>
        <w:spacing w:after="120"/>
        <w:rPr>
          <w:b/>
        </w:rPr>
      </w:pPr>
      <w:r w:rsidRPr="00EB10B0">
        <w:rPr>
          <w:b/>
        </w:rPr>
        <w:t>Adresa: ______________________________________________________________________</w:t>
      </w:r>
    </w:p>
    <w:p w14:paraId="3A83D358" w14:textId="77777777" w:rsidR="00884E31" w:rsidRPr="00EB10B0" w:rsidRDefault="00884E31" w:rsidP="0016172D">
      <w:pPr>
        <w:spacing w:after="120"/>
        <w:rPr>
          <w:b/>
        </w:rPr>
      </w:pPr>
      <w:r w:rsidRPr="00EB10B0">
        <w:rPr>
          <w:b/>
        </w:rPr>
        <w:t>Administratori: _______________________________________________________________</w:t>
      </w:r>
    </w:p>
    <w:p w14:paraId="6E4F9768" w14:textId="77777777" w:rsidR="00884E31" w:rsidRPr="00EB10B0" w:rsidRDefault="00884E31" w:rsidP="0016172D">
      <w:pPr>
        <w:spacing w:after="120"/>
        <w:rPr>
          <w:b/>
        </w:rPr>
      </w:pPr>
      <w:r w:rsidRPr="00EB10B0">
        <w:rPr>
          <w:b/>
        </w:rPr>
        <w:t>Drejtori i shkollës: ____________________________________________________________</w:t>
      </w:r>
    </w:p>
    <w:p w14:paraId="7E7052B6" w14:textId="77777777" w:rsidR="00884E31" w:rsidRPr="00EB10B0" w:rsidRDefault="00884E31" w:rsidP="0016172D">
      <w:pPr>
        <w:spacing w:after="120"/>
        <w:rPr>
          <w:b/>
        </w:rPr>
      </w:pPr>
      <w:r w:rsidRPr="00EB10B0">
        <w:rPr>
          <w:b/>
        </w:rPr>
        <w:t>Tel/</w:t>
      </w:r>
      <w:proofErr w:type="spellStart"/>
      <w:r w:rsidRPr="00EB10B0">
        <w:rPr>
          <w:b/>
        </w:rPr>
        <w:t>Cel</w:t>
      </w:r>
      <w:proofErr w:type="spellEnd"/>
      <w:r w:rsidRPr="00EB10B0">
        <w:rPr>
          <w:b/>
        </w:rPr>
        <w:t xml:space="preserve">: _________________________ </w:t>
      </w:r>
      <w:proofErr w:type="spellStart"/>
      <w:r w:rsidRPr="00EB10B0">
        <w:rPr>
          <w:b/>
        </w:rPr>
        <w:t>Fax</w:t>
      </w:r>
      <w:proofErr w:type="spellEnd"/>
      <w:r w:rsidRPr="00EB10B0">
        <w:rPr>
          <w:b/>
        </w:rPr>
        <w:t>: ________________ E-</w:t>
      </w:r>
      <w:proofErr w:type="spellStart"/>
      <w:r w:rsidRPr="00EB10B0">
        <w:rPr>
          <w:b/>
        </w:rPr>
        <w:t>mail</w:t>
      </w:r>
      <w:proofErr w:type="spellEnd"/>
      <w:r w:rsidRPr="00EB10B0">
        <w:rPr>
          <w:b/>
        </w:rPr>
        <w:t>: _________________</w:t>
      </w:r>
    </w:p>
    <w:p w14:paraId="506F12DA" w14:textId="30B351B9" w:rsidR="00884E31" w:rsidRDefault="00884E31" w:rsidP="0016172D">
      <w:pPr>
        <w:spacing w:after="120"/>
        <w:rPr>
          <w:b/>
        </w:rPr>
      </w:pPr>
      <w:r w:rsidRPr="00EB10B0">
        <w:rPr>
          <w:b/>
        </w:rPr>
        <w:t xml:space="preserve">Lloji Aktivitetit: </w:t>
      </w:r>
      <w:r w:rsidRPr="00EB10B0">
        <w:rPr>
          <w:b/>
          <w:u w:val="single"/>
        </w:rPr>
        <w:t>__(Kopsht/AB/AML)_____________________________________________</w:t>
      </w:r>
    </w:p>
    <w:p w14:paraId="4C1C115E" w14:textId="27F3027E" w:rsidR="0016172D" w:rsidRPr="00EB10B0" w:rsidRDefault="00884E31" w:rsidP="0016172D">
      <w:pPr>
        <w:spacing w:after="120"/>
        <w:rPr>
          <w:b/>
        </w:rPr>
      </w:pPr>
      <w:r w:rsidRPr="00EB10B0">
        <w:rPr>
          <w:b/>
        </w:rPr>
        <w:t>Arsyeja e inspektimit: Inspektim i Programuar</w:t>
      </w:r>
      <w:r>
        <w:rPr>
          <w:b/>
        </w:rPr>
        <w:t xml:space="preserve"> </w:t>
      </w:r>
      <w:r w:rsidRPr="00EB10B0">
        <w:rPr>
          <w:b/>
        </w:rPr>
        <w:t>Ri-Inspektim</w:t>
      </w:r>
      <w:r>
        <w:rPr>
          <w:b/>
        </w:rPr>
        <w:t xml:space="preserve">  </w:t>
      </w:r>
      <w:r w:rsidRPr="00EB10B0">
        <w:rPr>
          <w:b/>
        </w:rPr>
        <w:t>Inspektim i Posaçëm</w:t>
      </w:r>
      <w:r>
        <w:rPr>
          <w:b/>
        </w:rPr>
        <w:t xml:space="preserve"> </w:t>
      </w:r>
    </w:p>
    <w:p w14:paraId="50D4C973" w14:textId="3684F02A" w:rsidR="00884E31" w:rsidRPr="0016172D" w:rsidRDefault="0016172D" w:rsidP="0016172D">
      <w:pPr>
        <w:pStyle w:val="Akti"/>
        <w:jc w:val="both"/>
        <w:rPr>
          <w:rFonts w:ascii="Times New Roman" w:hAnsi="Times New Roman" w:cs="Times New Roman"/>
          <w:b w:val="0"/>
          <w:bCs w:val="0"/>
          <w:color w:val="auto"/>
          <w:sz w:val="24"/>
          <w:szCs w:val="24"/>
          <w:lang w:val="sq-AL"/>
        </w:rPr>
      </w:pPr>
      <w:r w:rsidRPr="0016172D">
        <w:rPr>
          <w:b w:val="0"/>
          <w:bCs w:val="0"/>
          <w:caps w:val="0"/>
          <w:color w:val="000000" w:themeColor="text1"/>
          <w:lang w:val="sq-AL"/>
        </w:rPr>
        <w:t>Në zbatim të</w:t>
      </w:r>
      <w:r w:rsidRPr="0016172D">
        <w:rPr>
          <w:caps w:val="0"/>
          <w:color w:val="000000" w:themeColor="text1"/>
          <w:lang w:val="sq-AL"/>
        </w:rPr>
        <w:t xml:space="preserve"> </w:t>
      </w:r>
      <w:r w:rsidRPr="00027FA3">
        <w:rPr>
          <w:rFonts w:ascii="Times New Roman" w:hAnsi="Times New Roman" w:cs="Times New Roman"/>
          <w:b w:val="0"/>
          <w:bCs w:val="0"/>
          <w:caps w:val="0"/>
          <w:color w:val="auto"/>
          <w:sz w:val="24"/>
          <w:szCs w:val="24"/>
          <w:lang w:val="sq-AL"/>
        </w:rPr>
        <w:t xml:space="preserve">Ligji </w:t>
      </w:r>
      <w:r w:rsidRPr="00027FA3">
        <w:rPr>
          <w:rFonts w:ascii="Times New Roman" w:hAnsi="Times New Roman" w:cs="Times New Roman"/>
          <w:b w:val="0"/>
          <w:bCs w:val="0"/>
          <w:caps w:val="0"/>
          <w:sz w:val="24"/>
          <w:szCs w:val="24"/>
          <w:lang w:val="sq-AL"/>
        </w:rPr>
        <w:t xml:space="preserve">Nr. 69/2012 “Për Sistemin Arsimor </w:t>
      </w:r>
      <w:proofErr w:type="spellStart"/>
      <w:r w:rsidRPr="00027FA3">
        <w:rPr>
          <w:rFonts w:ascii="Times New Roman" w:hAnsi="Times New Roman" w:cs="Times New Roman"/>
          <w:b w:val="0"/>
          <w:bCs w:val="0"/>
          <w:caps w:val="0"/>
          <w:sz w:val="24"/>
          <w:szCs w:val="24"/>
          <w:lang w:val="sq-AL"/>
        </w:rPr>
        <w:t>Parauniversitar</w:t>
      </w:r>
      <w:proofErr w:type="spellEnd"/>
      <w:r w:rsidRPr="00027FA3">
        <w:rPr>
          <w:rFonts w:ascii="Times New Roman" w:hAnsi="Times New Roman" w:cs="Times New Roman"/>
          <w:b w:val="0"/>
          <w:bCs w:val="0"/>
          <w:caps w:val="0"/>
          <w:sz w:val="24"/>
          <w:szCs w:val="24"/>
          <w:lang w:val="sq-AL"/>
        </w:rPr>
        <w:t xml:space="preserve"> </w:t>
      </w:r>
      <w:r>
        <w:rPr>
          <w:rFonts w:ascii="Times New Roman" w:hAnsi="Times New Roman" w:cs="Times New Roman"/>
          <w:b w:val="0"/>
          <w:bCs w:val="0"/>
          <w:caps w:val="0"/>
          <w:sz w:val="24"/>
          <w:szCs w:val="24"/>
          <w:lang w:val="sq-AL"/>
        </w:rPr>
        <w:t>n</w:t>
      </w:r>
      <w:r w:rsidRPr="00027FA3">
        <w:rPr>
          <w:rFonts w:ascii="Times New Roman" w:hAnsi="Times New Roman" w:cs="Times New Roman"/>
          <w:b w:val="0"/>
          <w:bCs w:val="0"/>
          <w:caps w:val="0"/>
          <w:sz w:val="24"/>
          <w:szCs w:val="24"/>
          <w:lang w:val="sq-AL"/>
        </w:rPr>
        <w:t xml:space="preserve">ë Republikën </w:t>
      </w:r>
      <w:r>
        <w:rPr>
          <w:rFonts w:ascii="Times New Roman" w:hAnsi="Times New Roman" w:cs="Times New Roman"/>
          <w:b w:val="0"/>
          <w:bCs w:val="0"/>
          <w:caps w:val="0"/>
          <w:sz w:val="24"/>
          <w:szCs w:val="24"/>
          <w:lang w:val="sq-AL"/>
        </w:rPr>
        <w:t>e</w:t>
      </w:r>
      <w:r w:rsidRPr="00027FA3">
        <w:rPr>
          <w:rFonts w:ascii="Times New Roman" w:hAnsi="Times New Roman" w:cs="Times New Roman"/>
          <w:b w:val="0"/>
          <w:bCs w:val="0"/>
          <w:caps w:val="0"/>
          <w:sz w:val="24"/>
          <w:szCs w:val="24"/>
          <w:lang w:val="sq-AL"/>
        </w:rPr>
        <w:t xml:space="preserve"> Shqipërisë”, </w:t>
      </w:r>
      <w:r>
        <w:rPr>
          <w:rFonts w:ascii="Times New Roman" w:hAnsi="Times New Roman" w:cs="Times New Roman"/>
          <w:b w:val="0"/>
          <w:bCs w:val="0"/>
          <w:caps w:val="0"/>
          <w:sz w:val="24"/>
          <w:szCs w:val="24"/>
          <w:lang w:val="sq-AL"/>
        </w:rPr>
        <w:t>n</w:t>
      </w:r>
      <w:r w:rsidRPr="00027FA3">
        <w:rPr>
          <w:rFonts w:ascii="Times New Roman" w:hAnsi="Times New Roman" w:cs="Times New Roman"/>
          <w:b w:val="0"/>
          <w:bCs w:val="0"/>
          <w:caps w:val="0"/>
          <w:sz w:val="24"/>
          <w:szCs w:val="24"/>
          <w:lang w:val="sq-AL"/>
        </w:rPr>
        <w:t xml:space="preserve">dryshuar </w:t>
      </w:r>
      <w:r>
        <w:rPr>
          <w:rFonts w:ascii="Times New Roman" w:hAnsi="Times New Roman" w:cs="Times New Roman"/>
          <w:b w:val="0"/>
          <w:bCs w:val="0"/>
          <w:caps w:val="0"/>
          <w:sz w:val="24"/>
          <w:szCs w:val="24"/>
          <w:lang w:val="sq-AL"/>
        </w:rPr>
        <w:t>m</w:t>
      </w:r>
      <w:r w:rsidRPr="00027FA3">
        <w:rPr>
          <w:rFonts w:ascii="Times New Roman" w:hAnsi="Times New Roman" w:cs="Times New Roman"/>
          <w:b w:val="0"/>
          <w:bCs w:val="0"/>
          <w:caps w:val="0"/>
          <w:sz w:val="24"/>
          <w:szCs w:val="24"/>
          <w:lang w:val="sq-AL"/>
        </w:rPr>
        <w:t xml:space="preserve">e Ligjin Nr. 56/2015,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 xml:space="preserve">atë 28.5.2015; Nr. 48/2018,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 xml:space="preserve">atë 23.7.2018; 44/2023,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atë 15.6.2023)</w:t>
      </w:r>
    </w:p>
    <w:p w14:paraId="0E412FAD" w14:textId="77777777" w:rsidR="00884E31" w:rsidRDefault="00884E31" w:rsidP="00884E31">
      <w:pPr>
        <w:jc w:val="both"/>
        <w:rPr>
          <w:color w:val="000000" w:themeColor="text1"/>
        </w:rPr>
      </w:pPr>
    </w:p>
    <w:p w14:paraId="75CEACBA" w14:textId="77777777" w:rsidR="00884E31" w:rsidRDefault="00884E31" w:rsidP="00884E31">
      <w:pPr>
        <w:jc w:val="both"/>
        <w:rPr>
          <w:color w:val="000000" w:themeColor="text1"/>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59"/>
        <w:gridCol w:w="5103"/>
        <w:gridCol w:w="567"/>
        <w:gridCol w:w="567"/>
        <w:gridCol w:w="709"/>
        <w:gridCol w:w="1138"/>
      </w:tblGrid>
      <w:tr w:rsidR="0016172D" w:rsidRPr="00586FE7" w14:paraId="0BBD3534" w14:textId="77777777" w:rsidTr="005A7CF9">
        <w:trPr>
          <w:trHeight w:val="300"/>
          <w:jc w:val="center"/>
        </w:trPr>
        <w:tc>
          <w:tcPr>
            <w:tcW w:w="572" w:type="dxa"/>
            <w:vMerge w:val="restart"/>
            <w:shd w:val="clear" w:color="auto" w:fill="B4C6E7" w:themeFill="accent1" w:themeFillTint="66"/>
            <w:noWrap/>
            <w:vAlign w:val="center"/>
            <w:hideMark/>
          </w:tcPr>
          <w:p w14:paraId="14C55435" w14:textId="77777777" w:rsidR="00884E31" w:rsidRPr="005A7CF9" w:rsidRDefault="00884E31" w:rsidP="00F141CE">
            <w:pPr>
              <w:contextualSpacing/>
              <w:jc w:val="center"/>
              <w:rPr>
                <w:b/>
                <w:bCs/>
                <w:color w:val="000000"/>
              </w:rPr>
            </w:pPr>
            <w:r w:rsidRPr="005A7CF9">
              <w:rPr>
                <w:b/>
                <w:bCs/>
                <w:color w:val="000000"/>
                <w:sz w:val="22"/>
                <w:szCs w:val="22"/>
              </w:rPr>
              <w:t>Nr.</w:t>
            </w:r>
          </w:p>
        </w:tc>
        <w:tc>
          <w:tcPr>
            <w:tcW w:w="1559" w:type="dxa"/>
            <w:vMerge w:val="restart"/>
            <w:shd w:val="clear" w:color="auto" w:fill="B4C6E7" w:themeFill="accent1" w:themeFillTint="66"/>
            <w:noWrap/>
            <w:vAlign w:val="center"/>
            <w:hideMark/>
          </w:tcPr>
          <w:p w14:paraId="713C39D0" w14:textId="77777777" w:rsidR="00884E31" w:rsidRPr="00586FE7" w:rsidRDefault="00884E31" w:rsidP="003C0744">
            <w:pPr>
              <w:contextualSpacing/>
              <w:jc w:val="center"/>
              <w:rPr>
                <w:b/>
                <w:color w:val="000000"/>
              </w:rPr>
            </w:pPr>
            <w:r w:rsidRPr="00586FE7">
              <w:rPr>
                <w:b/>
                <w:color w:val="000000"/>
                <w:sz w:val="22"/>
                <w:szCs w:val="22"/>
              </w:rPr>
              <w:t>Baza Ligjore</w:t>
            </w:r>
          </w:p>
          <w:p w14:paraId="2E82C21F" w14:textId="77777777" w:rsidR="00884E31" w:rsidRPr="00586FE7" w:rsidRDefault="00884E31" w:rsidP="003C0744">
            <w:pPr>
              <w:contextualSpacing/>
              <w:jc w:val="center"/>
              <w:rPr>
                <w:color w:val="000000"/>
              </w:rPr>
            </w:pPr>
          </w:p>
        </w:tc>
        <w:tc>
          <w:tcPr>
            <w:tcW w:w="5103" w:type="dxa"/>
            <w:vMerge w:val="restart"/>
            <w:shd w:val="clear" w:color="auto" w:fill="B4C6E7" w:themeFill="accent1" w:themeFillTint="66"/>
            <w:vAlign w:val="center"/>
            <w:hideMark/>
          </w:tcPr>
          <w:p w14:paraId="695DE5EB" w14:textId="77777777" w:rsidR="00884E31" w:rsidRPr="00586FE7" w:rsidRDefault="00884E31" w:rsidP="003C0744">
            <w:pPr>
              <w:contextualSpacing/>
              <w:jc w:val="center"/>
              <w:rPr>
                <w:b/>
                <w:bCs/>
                <w:color w:val="000000"/>
              </w:rPr>
            </w:pPr>
            <w:r w:rsidRPr="00586FE7">
              <w:rPr>
                <w:b/>
                <w:bCs/>
                <w:color w:val="000000"/>
                <w:sz w:val="22"/>
                <w:szCs w:val="22"/>
              </w:rPr>
              <w:t>Përshkruesit praktikë</w:t>
            </w:r>
          </w:p>
        </w:tc>
        <w:tc>
          <w:tcPr>
            <w:tcW w:w="1843" w:type="dxa"/>
            <w:gridSpan w:val="3"/>
            <w:shd w:val="clear" w:color="auto" w:fill="B4C6E7" w:themeFill="accent1" w:themeFillTint="66"/>
            <w:noWrap/>
            <w:vAlign w:val="center"/>
            <w:hideMark/>
          </w:tcPr>
          <w:p w14:paraId="524A4D39" w14:textId="77777777" w:rsidR="00884E31" w:rsidRPr="00586FE7" w:rsidRDefault="00884E31" w:rsidP="003C0744">
            <w:pPr>
              <w:contextualSpacing/>
              <w:jc w:val="center"/>
              <w:rPr>
                <w:color w:val="000000"/>
              </w:rPr>
            </w:pPr>
            <w:r w:rsidRPr="00586FE7">
              <w:rPr>
                <w:color w:val="000000"/>
                <w:sz w:val="22"/>
                <w:szCs w:val="22"/>
              </w:rPr>
              <w:t>Vlerësimi</w:t>
            </w:r>
          </w:p>
        </w:tc>
        <w:tc>
          <w:tcPr>
            <w:tcW w:w="1138" w:type="dxa"/>
            <w:vMerge w:val="restart"/>
            <w:shd w:val="clear" w:color="auto" w:fill="B4C6E7" w:themeFill="accent1" w:themeFillTint="66"/>
            <w:vAlign w:val="center"/>
            <w:hideMark/>
          </w:tcPr>
          <w:p w14:paraId="07817048" w14:textId="77777777" w:rsidR="00884E31" w:rsidRPr="00586FE7" w:rsidRDefault="00884E31" w:rsidP="003C0744">
            <w:pPr>
              <w:contextualSpacing/>
              <w:jc w:val="center"/>
              <w:rPr>
                <w:b/>
                <w:bCs/>
                <w:color w:val="000000"/>
              </w:rPr>
            </w:pPr>
            <w:r w:rsidRPr="00586FE7">
              <w:rPr>
                <w:b/>
                <w:bCs/>
                <w:color w:val="000000"/>
                <w:sz w:val="22"/>
                <w:szCs w:val="22"/>
              </w:rPr>
              <w:t>Komente</w:t>
            </w:r>
          </w:p>
        </w:tc>
      </w:tr>
      <w:tr w:rsidR="00F141CE" w:rsidRPr="00586FE7" w14:paraId="1DEB2E12" w14:textId="77777777" w:rsidTr="005A7CF9">
        <w:trPr>
          <w:trHeight w:val="315"/>
          <w:jc w:val="center"/>
        </w:trPr>
        <w:tc>
          <w:tcPr>
            <w:tcW w:w="572" w:type="dxa"/>
            <w:vMerge/>
            <w:hideMark/>
          </w:tcPr>
          <w:p w14:paraId="74AEC475" w14:textId="77777777" w:rsidR="00884E31" w:rsidRPr="00586FE7" w:rsidRDefault="00884E31" w:rsidP="00F141CE">
            <w:pPr>
              <w:contextualSpacing/>
              <w:jc w:val="center"/>
              <w:rPr>
                <w:color w:val="000000"/>
              </w:rPr>
            </w:pPr>
          </w:p>
        </w:tc>
        <w:tc>
          <w:tcPr>
            <w:tcW w:w="1559" w:type="dxa"/>
            <w:vMerge/>
            <w:shd w:val="clear" w:color="auto" w:fill="auto"/>
            <w:noWrap/>
            <w:hideMark/>
          </w:tcPr>
          <w:p w14:paraId="6FB3C206" w14:textId="77777777" w:rsidR="00884E31" w:rsidRPr="00586FE7" w:rsidRDefault="00884E31" w:rsidP="003C0744">
            <w:pPr>
              <w:contextualSpacing/>
              <w:rPr>
                <w:color w:val="000000"/>
              </w:rPr>
            </w:pPr>
          </w:p>
        </w:tc>
        <w:tc>
          <w:tcPr>
            <w:tcW w:w="5103" w:type="dxa"/>
            <w:vMerge/>
            <w:hideMark/>
          </w:tcPr>
          <w:p w14:paraId="5E275464" w14:textId="77777777" w:rsidR="00884E31" w:rsidRPr="00586FE7" w:rsidRDefault="00884E31" w:rsidP="003C0744">
            <w:pPr>
              <w:contextualSpacing/>
              <w:jc w:val="both"/>
              <w:rPr>
                <w:b/>
                <w:bCs/>
                <w:color w:val="000000"/>
              </w:rPr>
            </w:pPr>
          </w:p>
        </w:tc>
        <w:tc>
          <w:tcPr>
            <w:tcW w:w="567" w:type="dxa"/>
            <w:shd w:val="clear" w:color="auto" w:fill="D9E2F3" w:themeFill="accent1" w:themeFillTint="33"/>
            <w:vAlign w:val="center"/>
            <w:hideMark/>
          </w:tcPr>
          <w:p w14:paraId="25DD760B" w14:textId="77777777" w:rsidR="00884E31" w:rsidRPr="00586FE7" w:rsidRDefault="00884E31" w:rsidP="003C0744">
            <w:pPr>
              <w:contextualSpacing/>
              <w:jc w:val="center"/>
              <w:rPr>
                <w:b/>
                <w:bCs/>
                <w:color w:val="000000"/>
              </w:rPr>
            </w:pPr>
            <w:r w:rsidRPr="00586FE7">
              <w:rPr>
                <w:b/>
                <w:bCs/>
                <w:color w:val="000000"/>
                <w:sz w:val="22"/>
                <w:szCs w:val="22"/>
              </w:rPr>
              <w:t>Po</w:t>
            </w:r>
          </w:p>
        </w:tc>
        <w:tc>
          <w:tcPr>
            <w:tcW w:w="567" w:type="dxa"/>
            <w:shd w:val="clear" w:color="auto" w:fill="D9E2F3" w:themeFill="accent1" w:themeFillTint="33"/>
            <w:vAlign w:val="center"/>
            <w:hideMark/>
          </w:tcPr>
          <w:p w14:paraId="3C06452F" w14:textId="77777777" w:rsidR="00884E31" w:rsidRPr="00586FE7" w:rsidRDefault="00884E31" w:rsidP="003C0744">
            <w:pPr>
              <w:contextualSpacing/>
              <w:jc w:val="center"/>
              <w:rPr>
                <w:b/>
                <w:bCs/>
                <w:color w:val="000000"/>
              </w:rPr>
            </w:pPr>
            <w:r w:rsidRPr="00586FE7">
              <w:rPr>
                <w:b/>
                <w:bCs/>
                <w:color w:val="000000"/>
                <w:sz w:val="22"/>
                <w:szCs w:val="22"/>
              </w:rPr>
              <w:t>Jo</w:t>
            </w:r>
          </w:p>
        </w:tc>
        <w:tc>
          <w:tcPr>
            <w:tcW w:w="709" w:type="dxa"/>
            <w:shd w:val="clear" w:color="auto" w:fill="D9E2F3" w:themeFill="accent1" w:themeFillTint="33"/>
            <w:vAlign w:val="center"/>
            <w:hideMark/>
          </w:tcPr>
          <w:p w14:paraId="5798F6F6" w14:textId="77777777" w:rsidR="00884E31" w:rsidRPr="00586FE7" w:rsidRDefault="00884E31" w:rsidP="003C0744">
            <w:pPr>
              <w:contextualSpacing/>
              <w:jc w:val="center"/>
              <w:rPr>
                <w:b/>
                <w:bCs/>
                <w:color w:val="000000"/>
              </w:rPr>
            </w:pPr>
            <w:r w:rsidRPr="00586FE7">
              <w:rPr>
                <w:b/>
                <w:bCs/>
                <w:color w:val="000000"/>
                <w:sz w:val="22"/>
                <w:szCs w:val="22"/>
              </w:rPr>
              <w:t>N/A</w:t>
            </w:r>
          </w:p>
        </w:tc>
        <w:tc>
          <w:tcPr>
            <w:tcW w:w="1138" w:type="dxa"/>
            <w:vMerge/>
            <w:vAlign w:val="center"/>
            <w:hideMark/>
          </w:tcPr>
          <w:p w14:paraId="224721DF" w14:textId="77777777" w:rsidR="00884E31" w:rsidRPr="00586FE7" w:rsidRDefault="00884E31" w:rsidP="003C0744">
            <w:pPr>
              <w:contextualSpacing/>
              <w:jc w:val="center"/>
              <w:rPr>
                <w:b/>
                <w:bCs/>
                <w:color w:val="000000"/>
              </w:rPr>
            </w:pPr>
          </w:p>
        </w:tc>
      </w:tr>
      <w:tr w:rsidR="0016172D" w:rsidRPr="00586FE7" w14:paraId="30101651" w14:textId="77777777" w:rsidTr="005A7CF9">
        <w:trPr>
          <w:trHeight w:val="945"/>
          <w:jc w:val="center"/>
        </w:trPr>
        <w:tc>
          <w:tcPr>
            <w:tcW w:w="572" w:type="dxa"/>
            <w:shd w:val="clear" w:color="auto" w:fill="auto"/>
            <w:noWrap/>
          </w:tcPr>
          <w:p w14:paraId="613AFCD8" w14:textId="77777777" w:rsidR="00F141CE" w:rsidRPr="00884E31" w:rsidRDefault="00F141CE" w:rsidP="00F141CE">
            <w:pPr>
              <w:pStyle w:val="Paragrafiilists"/>
              <w:numPr>
                <w:ilvl w:val="0"/>
                <w:numId w:val="1"/>
              </w:numPr>
              <w:rPr>
                <w:rFonts w:ascii="Times New Roman" w:hAnsi="Times New Roman" w:cs="Times New Roman"/>
                <w:color w:val="000000"/>
                <w:lang w:val="sq-AL"/>
              </w:rPr>
            </w:pPr>
          </w:p>
        </w:tc>
        <w:tc>
          <w:tcPr>
            <w:tcW w:w="1559" w:type="dxa"/>
            <w:shd w:val="clear" w:color="auto" w:fill="auto"/>
            <w:noWrap/>
          </w:tcPr>
          <w:p w14:paraId="2F02DCBC" w14:textId="7ED834FF" w:rsidR="00F141CE" w:rsidRPr="00586FE7" w:rsidRDefault="00F141CE" w:rsidP="0016172D">
            <w:pPr>
              <w:contextualSpacing/>
              <w:jc w:val="both"/>
              <w:rPr>
                <w:color w:val="000000"/>
              </w:rPr>
            </w:pPr>
            <w:r w:rsidRPr="00A14627">
              <w:rPr>
                <w:color w:val="000000"/>
                <w:sz w:val="22"/>
                <w:szCs w:val="22"/>
              </w:rPr>
              <w:t>Pika 1, Neni 42, Kreu V, Ligji 69/12</w:t>
            </w:r>
          </w:p>
        </w:tc>
        <w:tc>
          <w:tcPr>
            <w:tcW w:w="5103" w:type="dxa"/>
            <w:shd w:val="clear" w:color="auto" w:fill="auto"/>
          </w:tcPr>
          <w:p w14:paraId="1BDAF237" w14:textId="47761512" w:rsidR="00F141CE" w:rsidRPr="00586FE7" w:rsidRDefault="00F141CE" w:rsidP="00F141CE">
            <w:pPr>
              <w:contextualSpacing/>
              <w:jc w:val="both"/>
              <w:rPr>
                <w:color w:val="000000"/>
              </w:rPr>
            </w:pPr>
            <w:r w:rsidRPr="00A14627">
              <w:rPr>
                <w:color w:val="000000"/>
                <w:sz w:val="22"/>
                <w:szCs w:val="22"/>
              </w:rPr>
              <w:t>A është krijuar dhe a funksionon institucioni arsimor privat sipas këtij ligji, përveç rasteve kur ligji ka formulim të veçantë për institucionet arsimore publike, si edhe akteve nënligjore të nxjerra në mënyrë specifike për to?</w:t>
            </w:r>
          </w:p>
        </w:tc>
        <w:tc>
          <w:tcPr>
            <w:tcW w:w="567" w:type="dxa"/>
            <w:shd w:val="clear" w:color="auto" w:fill="auto"/>
            <w:hideMark/>
          </w:tcPr>
          <w:p w14:paraId="398ADA42" w14:textId="77777777" w:rsidR="00F141CE" w:rsidRPr="00586FE7" w:rsidRDefault="00F141CE" w:rsidP="00F141CE">
            <w:pPr>
              <w:contextualSpacing/>
              <w:rPr>
                <w:color w:val="000000"/>
              </w:rPr>
            </w:pPr>
            <w:r w:rsidRPr="00586FE7">
              <w:rPr>
                <w:color w:val="000000"/>
                <w:sz w:val="22"/>
                <w:szCs w:val="22"/>
              </w:rPr>
              <w:t> </w:t>
            </w:r>
          </w:p>
        </w:tc>
        <w:tc>
          <w:tcPr>
            <w:tcW w:w="567" w:type="dxa"/>
            <w:shd w:val="clear" w:color="auto" w:fill="auto"/>
            <w:hideMark/>
          </w:tcPr>
          <w:p w14:paraId="1EE3EB3F" w14:textId="77777777" w:rsidR="00F141CE" w:rsidRPr="00586FE7" w:rsidRDefault="00F141CE" w:rsidP="00F141CE">
            <w:pPr>
              <w:contextualSpacing/>
              <w:rPr>
                <w:color w:val="000000"/>
              </w:rPr>
            </w:pPr>
            <w:r w:rsidRPr="00586FE7">
              <w:rPr>
                <w:color w:val="000000"/>
                <w:sz w:val="22"/>
                <w:szCs w:val="22"/>
              </w:rPr>
              <w:t> </w:t>
            </w:r>
          </w:p>
        </w:tc>
        <w:tc>
          <w:tcPr>
            <w:tcW w:w="709" w:type="dxa"/>
            <w:shd w:val="clear" w:color="auto" w:fill="auto"/>
            <w:hideMark/>
          </w:tcPr>
          <w:p w14:paraId="28C49E7D" w14:textId="77777777" w:rsidR="00F141CE" w:rsidRPr="00586FE7" w:rsidRDefault="00F141CE" w:rsidP="00F141CE">
            <w:pPr>
              <w:contextualSpacing/>
              <w:rPr>
                <w:color w:val="000000"/>
              </w:rPr>
            </w:pPr>
            <w:r w:rsidRPr="00586FE7">
              <w:rPr>
                <w:color w:val="000000"/>
                <w:sz w:val="22"/>
                <w:szCs w:val="22"/>
              </w:rPr>
              <w:t> </w:t>
            </w:r>
          </w:p>
        </w:tc>
        <w:tc>
          <w:tcPr>
            <w:tcW w:w="1138" w:type="dxa"/>
            <w:shd w:val="clear" w:color="auto" w:fill="auto"/>
            <w:noWrap/>
            <w:hideMark/>
          </w:tcPr>
          <w:p w14:paraId="1A00E9A5" w14:textId="77777777" w:rsidR="00F141CE" w:rsidRPr="00586FE7" w:rsidRDefault="00F141CE" w:rsidP="00F141CE">
            <w:pPr>
              <w:contextualSpacing/>
              <w:rPr>
                <w:color w:val="000000"/>
              </w:rPr>
            </w:pPr>
            <w:r w:rsidRPr="00586FE7">
              <w:rPr>
                <w:color w:val="000000"/>
                <w:sz w:val="22"/>
                <w:szCs w:val="22"/>
              </w:rPr>
              <w:t> </w:t>
            </w:r>
          </w:p>
        </w:tc>
      </w:tr>
      <w:tr w:rsidR="00F141CE" w:rsidRPr="00586FE7" w14:paraId="3F8BC819" w14:textId="77777777" w:rsidTr="005A7CF9">
        <w:trPr>
          <w:trHeight w:val="945"/>
          <w:jc w:val="center"/>
        </w:trPr>
        <w:tc>
          <w:tcPr>
            <w:tcW w:w="572" w:type="dxa"/>
            <w:shd w:val="clear" w:color="auto" w:fill="auto"/>
            <w:noWrap/>
          </w:tcPr>
          <w:p w14:paraId="36180CB1"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53ABACC7" w14:textId="181325E3" w:rsidR="00F141CE" w:rsidRPr="00586FE7" w:rsidRDefault="00F141CE" w:rsidP="0016172D">
            <w:pPr>
              <w:contextualSpacing/>
              <w:jc w:val="both"/>
              <w:rPr>
                <w:color w:val="000000"/>
              </w:rPr>
            </w:pPr>
            <w:r w:rsidRPr="00A14627">
              <w:rPr>
                <w:color w:val="000000"/>
                <w:sz w:val="22"/>
                <w:szCs w:val="22"/>
              </w:rPr>
              <w:t>Pika 1, Neni 40, Kreu VI, Ligji 69/12</w:t>
            </w:r>
            <w:r>
              <w:rPr>
                <w:color w:val="000000"/>
                <w:sz w:val="22"/>
                <w:szCs w:val="22"/>
              </w:rPr>
              <w:t xml:space="preserve">, </w:t>
            </w:r>
            <w:r w:rsidRPr="00A14627">
              <w:rPr>
                <w:color w:val="000000"/>
                <w:sz w:val="22"/>
                <w:szCs w:val="22"/>
              </w:rPr>
              <w:t>(</w:t>
            </w:r>
            <w:r w:rsidRPr="00A14627">
              <w:rPr>
                <w:color w:val="222222"/>
                <w:sz w:val="22"/>
                <w:szCs w:val="22"/>
              </w:rPr>
              <w:t># me 44/23)</w:t>
            </w:r>
          </w:p>
        </w:tc>
        <w:tc>
          <w:tcPr>
            <w:tcW w:w="5103" w:type="dxa"/>
            <w:shd w:val="clear" w:color="auto" w:fill="auto"/>
          </w:tcPr>
          <w:p w14:paraId="7C103D42" w14:textId="31A140D8" w:rsidR="00F141CE" w:rsidRPr="00586FE7" w:rsidRDefault="00F141CE" w:rsidP="00F141CE">
            <w:pPr>
              <w:contextualSpacing/>
              <w:jc w:val="both"/>
              <w:rPr>
                <w:color w:val="000000"/>
              </w:rPr>
            </w:pPr>
            <w:r w:rsidRPr="00A14627">
              <w:rPr>
                <w:color w:val="000000"/>
                <w:sz w:val="22"/>
                <w:szCs w:val="22"/>
              </w:rPr>
              <w:t>A janë krijuar dhe a funksionojnë institucionet arsimore private dhe institucionet plotësuese private, sipas këtij ligji, përveç rasteve kur ligji ka formulim të veçantë për institucionet arsimore publikuesi edhe akteve nënligjore të nxjerra në mënyrë specifike për to?</w:t>
            </w:r>
          </w:p>
        </w:tc>
        <w:tc>
          <w:tcPr>
            <w:tcW w:w="567" w:type="dxa"/>
            <w:shd w:val="clear" w:color="auto" w:fill="auto"/>
          </w:tcPr>
          <w:p w14:paraId="160B0D8E" w14:textId="77777777" w:rsidR="00F141CE" w:rsidRPr="00586FE7" w:rsidRDefault="00F141CE" w:rsidP="00F141CE">
            <w:pPr>
              <w:contextualSpacing/>
              <w:rPr>
                <w:color w:val="000000"/>
                <w:sz w:val="22"/>
                <w:szCs w:val="22"/>
              </w:rPr>
            </w:pPr>
          </w:p>
        </w:tc>
        <w:tc>
          <w:tcPr>
            <w:tcW w:w="567" w:type="dxa"/>
            <w:shd w:val="clear" w:color="auto" w:fill="auto"/>
          </w:tcPr>
          <w:p w14:paraId="4113CEBD" w14:textId="77777777" w:rsidR="00F141CE" w:rsidRPr="00586FE7" w:rsidRDefault="00F141CE" w:rsidP="00F141CE">
            <w:pPr>
              <w:contextualSpacing/>
              <w:rPr>
                <w:color w:val="000000"/>
                <w:sz w:val="22"/>
                <w:szCs w:val="22"/>
              </w:rPr>
            </w:pPr>
          </w:p>
        </w:tc>
        <w:tc>
          <w:tcPr>
            <w:tcW w:w="709" w:type="dxa"/>
            <w:shd w:val="clear" w:color="auto" w:fill="auto"/>
          </w:tcPr>
          <w:p w14:paraId="2FEEED72" w14:textId="77777777" w:rsidR="00F141CE" w:rsidRPr="00586FE7" w:rsidRDefault="00F141CE" w:rsidP="00F141CE">
            <w:pPr>
              <w:contextualSpacing/>
              <w:rPr>
                <w:color w:val="000000"/>
                <w:sz w:val="22"/>
                <w:szCs w:val="22"/>
              </w:rPr>
            </w:pPr>
          </w:p>
        </w:tc>
        <w:tc>
          <w:tcPr>
            <w:tcW w:w="1138" w:type="dxa"/>
            <w:shd w:val="clear" w:color="auto" w:fill="auto"/>
            <w:noWrap/>
          </w:tcPr>
          <w:p w14:paraId="7C17FE82" w14:textId="77777777" w:rsidR="00F141CE" w:rsidRPr="00586FE7" w:rsidRDefault="00F141CE" w:rsidP="00F141CE">
            <w:pPr>
              <w:contextualSpacing/>
              <w:rPr>
                <w:color w:val="000000"/>
                <w:sz w:val="22"/>
                <w:szCs w:val="22"/>
              </w:rPr>
            </w:pPr>
          </w:p>
        </w:tc>
      </w:tr>
      <w:tr w:rsidR="00F141CE" w:rsidRPr="00586FE7" w14:paraId="06363733" w14:textId="77777777" w:rsidTr="005A7CF9">
        <w:trPr>
          <w:trHeight w:val="945"/>
          <w:jc w:val="center"/>
        </w:trPr>
        <w:tc>
          <w:tcPr>
            <w:tcW w:w="572" w:type="dxa"/>
            <w:shd w:val="clear" w:color="auto" w:fill="auto"/>
            <w:noWrap/>
          </w:tcPr>
          <w:p w14:paraId="0EC734B9"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0B3E5F4C" w14:textId="12416DF9" w:rsidR="00F141CE" w:rsidRPr="00586FE7" w:rsidRDefault="00F141CE" w:rsidP="0016172D">
            <w:pPr>
              <w:contextualSpacing/>
              <w:jc w:val="both"/>
              <w:rPr>
                <w:color w:val="000000"/>
              </w:rPr>
            </w:pPr>
            <w:r w:rsidRPr="00A14627">
              <w:rPr>
                <w:color w:val="000000"/>
                <w:sz w:val="22"/>
                <w:szCs w:val="22"/>
              </w:rPr>
              <w:t>Pika 2, Neni 42, Kreu VI, Ligji 69/12</w:t>
            </w:r>
            <w:r>
              <w:rPr>
                <w:color w:val="000000"/>
                <w:sz w:val="22"/>
                <w:szCs w:val="22"/>
              </w:rPr>
              <w:t xml:space="preserve">, </w:t>
            </w:r>
            <w:r w:rsidRPr="00A14627">
              <w:rPr>
                <w:color w:val="000000"/>
                <w:sz w:val="22"/>
                <w:szCs w:val="22"/>
              </w:rPr>
              <w:t>(</w:t>
            </w:r>
            <w:r w:rsidRPr="00A14627">
              <w:rPr>
                <w:color w:val="222222"/>
                <w:sz w:val="22"/>
                <w:szCs w:val="22"/>
              </w:rPr>
              <w:t># me 44/23)</w:t>
            </w:r>
          </w:p>
        </w:tc>
        <w:tc>
          <w:tcPr>
            <w:tcW w:w="5103" w:type="dxa"/>
            <w:shd w:val="clear" w:color="auto" w:fill="auto"/>
          </w:tcPr>
          <w:p w14:paraId="72DAA206" w14:textId="73249237" w:rsidR="00F141CE" w:rsidRPr="00586FE7" w:rsidRDefault="00F141CE" w:rsidP="00F141CE">
            <w:pPr>
              <w:contextualSpacing/>
              <w:jc w:val="both"/>
              <w:rPr>
                <w:color w:val="000000"/>
              </w:rPr>
            </w:pPr>
            <w:r w:rsidRPr="00A14627">
              <w:rPr>
                <w:color w:val="000000"/>
                <w:sz w:val="22"/>
                <w:szCs w:val="22"/>
              </w:rPr>
              <w:t>A është bërë licencimi i institucionit privat nëpërmjet institucionit përkatës të licencimit, sipas vendimit të ministrit?</w:t>
            </w:r>
          </w:p>
        </w:tc>
        <w:tc>
          <w:tcPr>
            <w:tcW w:w="567" w:type="dxa"/>
            <w:shd w:val="clear" w:color="auto" w:fill="auto"/>
          </w:tcPr>
          <w:p w14:paraId="4886C1F5" w14:textId="77777777" w:rsidR="00F141CE" w:rsidRPr="00586FE7" w:rsidRDefault="00F141CE" w:rsidP="00F141CE">
            <w:pPr>
              <w:contextualSpacing/>
              <w:rPr>
                <w:color w:val="000000"/>
                <w:sz w:val="22"/>
                <w:szCs w:val="22"/>
              </w:rPr>
            </w:pPr>
          </w:p>
        </w:tc>
        <w:tc>
          <w:tcPr>
            <w:tcW w:w="567" w:type="dxa"/>
            <w:shd w:val="clear" w:color="auto" w:fill="auto"/>
          </w:tcPr>
          <w:p w14:paraId="74CB9E8E" w14:textId="77777777" w:rsidR="00F141CE" w:rsidRPr="00586FE7" w:rsidRDefault="00F141CE" w:rsidP="00F141CE">
            <w:pPr>
              <w:contextualSpacing/>
              <w:rPr>
                <w:color w:val="000000"/>
                <w:sz w:val="22"/>
                <w:szCs w:val="22"/>
              </w:rPr>
            </w:pPr>
          </w:p>
        </w:tc>
        <w:tc>
          <w:tcPr>
            <w:tcW w:w="709" w:type="dxa"/>
            <w:shd w:val="clear" w:color="auto" w:fill="auto"/>
          </w:tcPr>
          <w:p w14:paraId="428EA386" w14:textId="77777777" w:rsidR="00F141CE" w:rsidRPr="00586FE7" w:rsidRDefault="00F141CE" w:rsidP="00F141CE">
            <w:pPr>
              <w:contextualSpacing/>
              <w:rPr>
                <w:color w:val="000000"/>
                <w:sz w:val="22"/>
                <w:szCs w:val="22"/>
              </w:rPr>
            </w:pPr>
          </w:p>
        </w:tc>
        <w:tc>
          <w:tcPr>
            <w:tcW w:w="1138" w:type="dxa"/>
            <w:shd w:val="clear" w:color="auto" w:fill="auto"/>
            <w:noWrap/>
          </w:tcPr>
          <w:p w14:paraId="752421EB" w14:textId="77777777" w:rsidR="00F141CE" w:rsidRPr="00586FE7" w:rsidRDefault="00F141CE" w:rsidP="00F141CE">
            <w:pPr>
              <w:contextualSpacing/>
              <w:rPr>
                <w:color w:val="000000"/>
                <w:sz w:val="22"/>
                <w:szCs w:val="22"/>
              </w:rPr>
            </w:pPr>
          </w:p>
        </w:tc>
      </w:tr>
      <w:tr w:rsidR="00F141CE" w:rsidRPr="00586FE7" w14:paraId="42A1CA28" w14:textId="77777777" w:rsidTr="005A7CF9">
        <w:trPr>
          <w:trHeight w:val="945"/>
          <w:jc w:val="center"/>
        </w:trPr>
        <w:tc>
          <w:tcPr>
            <w:tcW w:w="572" w:type="dxa"/>
            <w:shd w:val="clear" w:color="auto" w:fill="auto"/>
            <w:noWrap/>
          </w:tcPr>
          <w:p w14:paraId="11E2F27A"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4A7CEE0A" w14:textId="5D0A40FD" w:rsidR="00F141CE" w:rsidRPr="00586FE7" w:rsidRDefault="00F141CE" w:rsidP="0016172D">
            <w:pPr>
              <w:contextualSpacing/>
              <w:jc w:val="both"/>
              <w:rPr>
                <w:color w:val="000000"/>
              </w:rPr>
            </w:pPr>
            <w:r w:rsidRPr="00A14627">
              <w:rPr>
                <w:color w:val="000000"/>
                <w:sz w:val="22"/>
                <w:szCs w:val="22"/>
              </w:rPr>
              <w:t> Pika 2, Neni 42, Kreu VI, Ligji 69/12</w:t>
            </w:r>
            <w:r>
              <w:rPr>
                <w:color w:val="000000"/>
                <w:sz w:val="22"/>
                <w:szCs w:val="22"/>
              </w:rPr>
              <w:t xml:space="preserve">, </w:t>
            </w:r>
            <w:r w:rsidRPr="00A14627">
              <w:rPr>
                <w:color w:val="000000"/>
                <w:sz w:val="22"/>
                <w:szCs w:val="22"/>
              </w:rPr>
              <w:t>(</w:t>
            </w:r>
            <w:r w:rsidRPr="00A14627">
              <w:rPr>
                <w:color w:val="222222"/>
                <w:sz w:val="22"/>
                <w:szCs w:val="22"/>
              </w:rPr>
              <w:t># me 44/23)</w:t>
            </w:r>
          </w:p>
        </w:tc>
        <w:tc>
          <w:tcPr>
            <w:tcW w:w="5103" w:type="dxa"/>
            <w:shd w:val="clear" w:color="auto" w:fill="auto"/>
          </w:tcPr>
          <w:p w14:paraId="35C4C68E" w14:textId="6D6C113C" w:rsidR="00F141CE" w:rsidRPr="00586FE7" w:rsidRDefault="00F141CE" w:rsidP="00F141CE">
            <w:pPr>
              <w:contextualSpacing/>
              <w:jc w:val="both"/>
              <w:rPr>
                <w:color w:val="000000"/>
              </w:rPr>
            </w:pPr>
            <w:r w:rsidRPr="00A14627">
              <w:rPr>
                <w:color w:val="000000"/>
                <w:sz w:val="22"/>
                <w:szCs w:val="22"/>
              </w:rPr>
              <w:t xml:space="preserve">A është bërë licencimi i institucionit privat sipas përcaktimeve të ligjit nr. 10081, datë 23.2.2009 “Për licencat, autorizimet dhe lejet në Republikën e Shqipërisë”? </w:t>
            </w:r>
          </w:p>
        </w:tc>
        <w:tc>
          <w:tcPr>
            <w:tcW w:w="567" w:type="dxa"/>
            <w:shd w:val="clear" w:color="auto" w:fill="auto"/>
          </w:tcPr>
          <w:p w14:paraId="59021604" w14:textId="77777777" w:rsidR="00F141CE" w:rsidRPr="00586FE7" w:rsidRDefault="00F141CE" w:rsidP="00F141CE">
            <w:pPr>
              <w:contextualSpacing/>
              <w:rPr>
                <w:color w:val="000000"/>
                <w:sz w:val="22"/>
                <w:szCs w:val="22"/>
              </w:rPr>
            </w:pPr>
          </w:p>
        </w:tc>
        <w:tc>
          <w:tcPr>
            <w:tcW w:w="567" w:type="dxa"/>
            <w:shd w:val="clear" w:color="auto" w:fill="auto"/>
          </w:tcPr>
          <w:p w14:paraId="40138EE4" w14:textId="77777777" w:rsidR="00F141CE" w:rsidRPr="00586FE7" w:rsidRDefault="00F141CE" w:rsidP="00F141CE">
            <w:pPr>
              <w:contextualSpacing/>
              <w:rPr>
                <w:color w:val="000000"/>
                <w:sz w:val="22"/>
                <w:szCs w:val="22"/>
              </w:rPr>
            </w:pPr>
          </w:p>
        </w:tc>
        <w:tc>
          <w:tcPr>
            <w:tcW w:w="709" w:type="dxa"/>
            <w:shd w:val="clear" w:color="auto" w:fill="auto"/>
          </w:tcPr>
          <w:p w14:paraId="495D88D5" w14:textId="77777777" w:rsidR="00F141CE" w:rsidRPr="00586FE7" w:rsidRDefault="00F141CE" w:rsidP="00F141CE">
            <w:pPr>
              <w:contextualSpacing/>
              <w:rPr>
                <w:color w:val="000000"/>
                <w:sz w:val="22"/>
                <w:szCs w:val="22"/>
              </w:rPr>
            </w:pPr>
          </w:p>
        </w:tc>
        <w:tc>
          <w:tcPr>
            <w:tcW w:w="1138" w:type="dxa"/>
            <w:shd w:val="clear" w:color="auto" w:fill="auto"/>
            <w:noWrap/>
          </w:tcPr>
          <w:p w14:paraId="24574293" w14:textId="77777777" w:rsidR="00F141CE" w:rsidRPr="00586FE7" w:rsidRDefault="00F141CE" w:rsidP="00F141CE">
            <w:pPr>
              <w:contextualSpacing/>
              <w:rPr>
                <w:color w:val="000000"/>
                <w:sz w:val="22"/>
                <w:szCs w:val="22"/>
              </w:rPr>
            </w:pPr>
          </w:p>
        </w:tc>
      </w:tr>
      <w:tr w:rsidR="00F141CE" w:rsidRPr="00586FE7" w14:paraId="54273F0F" w14:textId="77777777" w:rsidTr="005A7CF9">
        <w:trPr>
          <w:trHeight w:val="945"/>
          <w:jc w:val="center"/>
        </w:trPr>
        <w:tc>
          <w:tcPr>
            <w:tcW w:w="572" w:type="dxa"/>
            <w:shd w:val="clear" w:color="auto" w:fill="auto"/>
            <w:noWrap/>
          </w:tcPr>
          <w:p w14:paraId="79B5AB4B"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49795ACD" w14:textId="65DE1724" w:rsidR="00F141CE" w:rsidRPr="00586FE7" w:rsidRDefault="00F141CE" w:rsidP="0016172D">
            <w:pPr>
              <w:contextualSpacing/>
              <w:jc w:val="both"/>
              <w:rPr>
                <w:color w:val="000000"/>
              </w:rPr>
            </w:pPr>
            <w:r w:rsidRPr="00A14627">
              <w:rPr>
                <w:color w:val="000000"/>
                <w:sz w:val="22"/>
                <w:szCs w:val="22"/>
              </w:rPr>
              <w:t>Pika 2, Neni 42, Kreu VI, Ligji 69/12</w:t>
            </w:r>
            <w:r>
              <w:rPr>
                <w:color w:val="000000"/>
                <w:sz w:val="22"/>
                <w:szCs w:val="22"/>
              </w:rPr>
              <w:t xml:space="preserve">, </w:t>
            </w:r>
            <w:r w:rsidRPr="00A14627">
              <w:rPr>
                <w:color w:val="000000"/>
                <w:sz w:val="22"/>
                <w:szCs w:val="22"/>
              </w:rPr>
              <w:t>(</w:t>
            </w:r>
            <w:r w:rsidRPr="00A14627">
              <w:rPr>
                <w:color w:val="222222"/>
                <w:sz w:val="22"/>
                <w:szCs w:val="22"/>
              </w:rPr>
              <w:t># me 44/23)</w:t>
            </w:r>
          </w:p>
        </w:tc>
        <w:tc>
          <w:tcPr>
            <w:tcW w:w="5103" w:type="dxa"/>
            <w:shd w:val="clear" w:color="auto" w:fill="auto"/>
          </w:tcPr>
          <w:p w14:paraId="4F9D3C5E" w14:textId="142AB319" w:rsidR="00F141CE" w:rsidRPr="00586FE7" w:rsidRDefault="00F141CE" w:rsidP="00F141CE">
            <w:pPr>
              <w:contextualSpacing/>
              <w:jc w:val="both"/>
              <w:rPr>
                <w:color w:val="000000"/>
              </w:rPr>
            </w:pPr>
            <w:r w:rsidRPr="00A14627">
              <w:rPr>
                <w:color w:val="000000"/>
                <w:sz w:val="22"/>
                <w:szCs w:val="22"/>
              </w:rPr>
              <w:t>A e ka filluar institucioni arsimor privat veprimtarinë e tij vetëm pas marrjes së licencës?</w:t>
            </w:r>
          </w:p>
        </w:tc>
        <w:tc>
          <w:tcPr>
            <w:tcW w:w="567" w:type="dxa"/>
            <w:shd w:val="clear" w:color="auto" w:fill="auto"/>
          </w:tcPr>
          <w:p w14:paraId="5E21D071" w14:textId="77777777" w:rsidR="00F141CE" w:rsidRPr="00586FE7" w:rsidRDefault="00F141CE" w:rsidP="00F141CE">
            <w:pPr>
              <w:contextualSpacing/>
              <w:rPr>
                <w:color w:val="000000"/>
                <w:sz w:val="22"/>
                <w:szCs w:val="22"/>
              </w:rPr>
            </w:pPr>
          </w:p>
        </w:tc>
        <w:tc>
          <w:tcPr>
            <w:tcW w:w="567" w:type="dxa"/>
            <w:shd w:val="clear" w:color="auto" w:fill="auto"/>
          </w:tcPr>
          <w:p w14:paraId="52466746" w14:textId="77777777" w:rsidR="00F141CE" w:rsidRPr="00586FE7" w:rsidRDefault="00F141CE" w:rsidP="00F141CE">
            <w:pPr>
              <w:contextualSpacing/>
              <w:rPr>
                <w:color w:val="000000"/>
                <w:sz w:val="22"/>
                <w:szCs w:val="22"/>
              </w:rPr>
            </w:pPr>
          </w:p>
        </w:tc>
        <w:tc>
          <w:tcPr>
            <w:tcW w:w="709" w:type="dxa"/>
            <w:shd w:val="clear" w:color="auto" w:fill="auto"/>
          </w:tcPr>
          <w:p w14:paraId="71F4DBAB" w14:textId="77777777" w:rsidR="00F141CE" w:rsidRPr="00586FE7" w:rsidRDefault="00F141CE" w:rsidP="00F141CE">
            <w:pPr>
              <w:contextualSpacing/>
              <w:rPr>
                <w:color w:val="000000"/>
                <w:sz w:val="22"/>
                <w:szCs w:val="22"/>
              </w:rPr>
            </w:pPr>
          </w:p>
        </w:tc>
        <w:tc>
          <w:tcPr>
            <w:tcW w:w="1138" w:type="dxa"/>
            <w:shd w:val="clear" w:color="auto" w:fill="auto"/>
            <w:noWrap/>
          </w:tcPr>
          <w:p w14:paraId="599C16E5" w14:textId="77777777" w:rsidR="00F141CE" w:rsidRPr="00586FE7" w:rsidRDefault="00F141CE" w:rsidP="00F141CE">
            <w:pPr>
              <w:contextualSpacing/>
              <w:rPr>
                <w:color w:val="000000"/>
                <w:sz w:val="22"/>
                <w:szCs w:val="22"/>
              </w:rPr>
            </w:pPr>
          </w:p>
        </w:tc>
      </w:tr>
      <w:tr w:rsidR="00F141CE" w:rsidRPr="00586FE7" w14:paraId="0BD42EBB" w14:textId="77777777" w:rsidTr="005A7CF9">
        <w:trPr>
          <w:trHeight w:val="414"/>
          <w:jc w:val="center"/>
        </w:trPr>
        <w:tc>
          <w:tcPr>
            <w:tcW w:w="572" w:type="dxa"/>
            <w:shd w:val="clear" w:color="auto" w:fill="auto"/>
            <w:noWrap/>
          </w:tcPr>
          <w:p w14:paraId="0ECE636C"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1EC8DB83" w14:textId="45257297" w:rsidR="00F141CE" w:rsidRPr="00586FE7" w:rsidRDefault="00F141CE" w:rsidP="0016172D">
            <w:pPr>
              <w:contextualSpacing/>
              <w:jc w:val="both"/>
              <w:rPr>
                <w:color w:val="000000"/>
              </w:rPr>
            </w:pPr>
            <w:r w:rsidRPr="00A14627">
              <w:rPr>
                <w:color w:val="000000"/>
                <w:sz w:val="22"/>
                <w:szCs w:val="22"/>
              </w:rPr>
              <w:t>Pika 3, Neni 42, Kreu VI, Ligji 69/12</w:t>
            </w:r>
            <w:r>
              <w:rPr>
                <w:color w:val="000000"/>
                <w:sz w:val="22"/>
                <w:szCs w:val="22"/>
              </w:rPr>
              <w:t xml:space="preserve">, </w:t>
            </w:r>
            <w:r w:rsidRPr="00A14627">
              <w:rPr>
                <w:color w:val="000000"/>
                <w:sz w:val="22"/>
                <w:szCs w:val="22"/>
              </w:rPr>
              <w:t>(</w:t>
            </w:r>
            <w:r w:rsidRPr="00A14627">
              <w:rPr>
                <w:color w:val="222222"/>
                <w:sz w:val="22"/>
                <w:szCs w:val="22"/>
              </w:rPr>
              <w:t># me 48/18)</w:t>
            </w:r>
            <w:r w:rsidRPr="00A14627">
              <w:rPr>
                <w:color w:val="000000"/>
                <w:sz w:val="22"/>
                <w:szCs w:val="22"/>
              </w:rPr>
              <w:t> </w:t>
            </w:r>
          </w:p>
        </w:tc>
        <w:tc>
          <w:tcPr>
            <w:tcW w:w="5103" w:type="dxa"/>
            <w:shd w:val="clear" w:color="auto" w:fill="auto"/>
          </w:tcPr>
          <w:p w14:paraId="1A99E9B0" w14:textId="48A9E0A6" w:rsidR="00F141CE" w:rsidRPr="00586FE7" w:rsidRDefault="00F141CE" w:rsidP="00F141CE">
            <w:pPr>
              <w:contextualSpacing/>
              <w:jc w:val="both"/>
              <w:rPr>
                <w:color w:val="000000"/>
              </w:rPr>
            </w:pPr>
            <w:r w:rsidRPr="00A14627">
              <w:rPr>
                <w:color w:val="000000"/>
                <w:sz w:val="22"/>
                <w:szCs w:val="22"/>
              </w:rPr>
              <w:t xml:space="preserve">A është kryer me vendim të ministrit nga institucioni përgjegjës për licencimin, pezullimi dhe revokimi i licencave të institucioneve arsimore private, që përmendën në pikën 2 të këtij neni? </w:t>
            </w:r>
          </w:p>
        </w:tc>
        <w:tc>
          <w:tcPr>
            <w:tcW w:w="567" w:type="dxa"/>
            <w:shd w:val="clear" w:color="auto" w:fill="auto"/>
          </w:tcPr>
          <w:p w14:paraId="1DA6C827" w14:textId="77777777" w:rsidR="00F141CE" w:rsidRPr="00586FE7" w:rsidRDefault="00F141CE" w:rsidP="00F141CE">
            <w:pPr>
              <w:contextualSpacing/>
              <w:rPr>
                <w:color w:val="000000"/>
                <w:sz w:val="22"/>
                <w:szCs w:val="22"/>
              </w:rPr>
            </w:pPr>
          </w:p>
        </w:tc>
        <w:tc>
          <w:tcPr>
            <w:tcW w:w="567" w:type="dxa"/>
            <w:shd w:val="clear" w:color="auto" w:fill="auto"/>
          </w:tcPr>
          <w:p w14:paraId="22593106" w14:textId="77777777" w:rsidR="00F141CE" w:rsidRPr="00586FE7" w:rsidRDefault="00F141CE" w:rsidP="00F141CE">
            <w:pPr>
              <w:contextualSpacing/>
              <w:rPr>
                <w:color w:val="000000"/>
                <w:sz w:val="22"/>
                <w:szCs w:val="22"/>
              </w:rPr>
            </w:pPr>
          </w:p>
        </w:tc>
        <w:tc>
          <w:tcPr>
            <w:tcW w:w="709" w:type="dxa"/>
            <w:shd w:val="clear" w:color="auto" w:fill="auto"/>
          </w:tcPr>
          <w:p w14:paraId="52BA7724" w14:textId="77777777" w:rsidR="00F141CE" w:rsidRPr="00586FE7" w:rsidRDefault="00F141CE" w:rsidP="00F141CE">
            <w:pPr>
              <w:contextualSpacing/>
              <w:rPr>
                <w:color w:val="000000"/>
                <w:sz w:val="22"/>
                <w:szCs w:val="22"/>
              </w:rPr>
            </w:pPr>
          </w:p>
        </w:tc>
        <w:tc>
          <w:tcPr>
            <w:tcW w:w="1138" w:type="dxa"/>
            <w:shd w:val="clear" w:color="auto" w:fill="auto"/>
            <w:noWrap/>
          </w:tcPr>
          <w:p w14:paraId="56797040" w14:textId="77777777" w:rsidR="00F141CE" w:rsidRPr="00586FE7" w:rsidRDefault="00F141CE" w:rsidP="00F141CE">
            <w:pPr>
              <w:contextualSpacing/>
              <w:rPr>
                <w:color w:val="000000"/>
                <w:sz w:val="22"/>
                <w:szCs w:val="22"/>
              </w:rPr>
            </w:pPr>
          </w:p>
        </w:tc>
      </w:tr>
      <w:tr w:rsidR="00F141CE" w:rsidRPr="00586FE7" w14:paraId="69F4E6B0" w14:textId="77777777" w:rsidTr="005A7CF9">
        <w:trPr>
          <w:trHeight w:val="945"/>
          <w:jc w:val="center"/>
        </w:trPr>
        <w:tc>
          <w:tcPr>
            <w:tcW w:w="572" w:type="dxa"/>
            <w:shd w:val="clear" w:color="auto" w:fill="auto"/>
            <w:noWrap/>
          </w:tcPr>
          <w:p w14:paraId="11716163"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45B1DC78" w14:textId="381C1952" w:rsidR="00F141CE" w:rsidRPr="00586FE7" w:rsidRDefault="00F141CE" w:rsidP="0016172D">
            <w:pPr>
              <w:contextualSpacing/>
              <w:jc w:val="both"/>
              <w:rPr>
                <w:color w:val="000000"/>
              </w:rPr>
            </w:pPr>
            <w:r w:rsidRPr="00A14627">
              <w:rPr>
                <w:color w:val="000000"/>
                <w:sz w:val="22"/>
                <w:szCs w:val="22"/>
              </w:rPr>
              <w:t>Pika 3, Neni 42, Kreu VI, Ligji 69/12</w:t>
            </w:r>
            <w:r>
              <w:rPr>
                <w:color w:val="000000"/>
                <w:sz w:val="22"/>
                <w:szCs w:val="22"/>
              </w:rPr>
              <w:t xml:space="preserve">, </w:t>
            </w:r>
            <w:r w:rsidRPr="00A14627">
              <w:rPr>
                <w:color w:val="000000"/>
                <w:sz w:val="22"/>
                <w:szCs w:val="22"/>
              </w:rPr>
              <w:t>(</w:t>
            </w:r>
            <w:r w:rsidRPr="00A14627">
              <w:rPr>
                <w:color w:val="222222"/>
                <w:sz w:val="22"/>
                <w:szCs w:val="22"/>
              </w:rPr>
              <w:t># me 48/18dhe 44/23)</w:t>
            </w:r>
          </w:p>
        </w:tc>
        <w:tc>
          <w:tcPr>
            <w:tcW w:w="5103" w:type="dxa"/>
            <w:shd w:val="clear" w:color="auto" w:fill="auto"/>
          </w:tcPr>
          <w:p w14:paraId="5363C8B3" w14:textId="2904308A" w:rsidR="00F141CE" w:rsidRPr="00586FE7" w:rsidRDefault="00F141CE" w:rsidP="00F141CE">
            <w:pPr>
              <w:contextualSpacing/>
              <w:jc w:val="both"/>
              <w:rPr>
                <w:color w:val="000000"/>
              </w:rPr>
            </w:pPr>
            <w:r w:rsidRPr="00A14627">
              <w:rPr>
                <w:color w:val="000000"/>
                <w:sz w:val="22"/>
                <w:szCs w:val="22"/>
              </w:rPr>
              <w:t xml:space="preserve">A ka paraqitur kërkesë në rast se institucioni arsimor privat e ka ndërprerë veprimtarinë me iniciativën e vet, atëherë në institucionin përgjegjës për licencimin për revokim vullnetar të licencës? </w:t>
            </w:r>
          </w:p>
        </w:tc>
        <w:tc>
          <w:tcPr>
            <w:tcW w:w="567" w:type="dxa"/>
            <w:shd w:val="clear" w:color="auto" w:fill="auto"/>
          </w:tcPr>
          <w:p w14:paraId="36176474" w14:textId="77777777" w:rsidR="00F141CE" w:rsidRPr="00586FE7" w:rsidRDefault="00F141CE" w:rsidP="00F141CE">
            <w:pPr>
              <w:contextualSpacing/>
              <w:rPr>
                <w:color w:val="000000"/>
                <w:sz w:val="22"/>
                <w:szCs w:val="22"/>
              </w:rPr>
            </w:pPr>
          </w:p>
        </w:tc>
        <w:tc>
          <w:tcPr>
            <w:tcW w:w="567" w:type="dxa"/>
            <w:shd w:val="clear" w:color="auto" w:fill="auto"/>
          </w:tcPr>
          <w:p w14:paraId="3A757F6C" w14:textId="77777777" w:rsidR="00F141CE" w:rsidRPr="00586FE7" w:rsidRDefault="00F141CE" w:rsidP="00F141CE">
            <w:pPr>
              <w:contextualSpacing/>
              <w:rPr>
                <w:color w:val="000000"/>
                <w:sz w:val="22"/>
                <w:szCs w:val="22"/>
              </w:rPr>
            </w:pPr>
          </w:p>
        </w:tc>
        <w:tc>
          <w:tcPr>
            <w:tcW w:w="709" w:type="dxa"/>
            <w:shd w:val="clear" w:color="auto" w:fill="auto"/>
          </w:tcPr>
          <w:p w14:paraId="48A61E70" w14:textId="77777777" w:rsidR="00F141CE" w:rsidRPr="00586FE7" w:rsidRDefault="00F141CE" w:rsidP="00F141CE">
            <w:pPr>
              <w:contextualSpacing/>
              <w:rPr>
                <w:color w:val="000000"/>
                <w:sz w:val="22"/>
                <w:szCs w:val="22"/>
              </w:rPr>
            </w:pPr>
          </w:p>
        </w:tc>
        <w:tc>
          <w:tcPr>
            <w:tcW w:w="1138" w:type="dxa"/>
            <w:shd w:val="clear" w:color="auto" w:fill="auto"/>
            <w:noWrap/>
          </w:tcPr>
          <w:p w14:paraId="27EA7E1D" w14:textId="77777777" w:rsidR="00F141CE" w:rsidRPr="00586FE7" w:rsidRDefault="00F141CE" w:rsidP="00F141CE">
            <w:pPr>
              <w:contextualSpacing/>
              <w:rPr>
                <w:color w:val="000000"/>
                <w:sz w:val="22"/>
                <w:szCs w:val="22"/>
              </w:rPr>
            </w:pPr>
          </w:p>
        </w:tc>
      </w:tr>
      <w:tr w:rsidR="00F141CE" w:rsidRPr="00586FE7" w14:paraId="60B3D115" w14:textId="77777777" w:rsidTr="005A7CF9">
        <w:trPr>
          <w:trHeight w:val="945"/>
          <w:jc w:val="center"/>
        </w:trPr>
        <w:tc>
          <w:tcPr>
            <w:tcW w:w="572" w:type="dxa"/>
            <w:shd w:val="clear" w:color="auto" w:fill="auto"/>
            <w:noWrap/>
          </w:tcPr>
          <w:p w14:paraId="263BAE75"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5AA08815" w14:textId="20C6D821" w:rsidR="00F141CE" w:rsidRPr="00586FE7" w:rsidRDefault="00F141CE" w:rsidP="0016172D">
            <w:pPr>
              <w:contextualSpacing/>
              <w:jc w:val="both"/>
              <w:rPr>
                <w:color w:val="000000"/>
              </w:rPr>
            </w:pPr>
            <w:r w:rsidRPr="00A14627">
              <w:rPr>
                <w:color w:val="000000"/>
                <w:sz w:val="22"/>
                <w:szCs w:val="22"/>
              </w:rPr>
              <w:t>Pika 4, Neni 42, Kreu VI, Ligji 69/12 </w:t>
            </w:r>
          </w:p>
        </w:tc>
        <w:tc>
          <w:tcPr>
            <w:tcW w:w="5103" w:type="dxa"/>
            <w:shd w:val="clear" w:color="auto" w:fill="auto"/>
          </w:tcPr>
          <w:p w14:paraId="5B9175B4" w14:textId="075E3419" w:rsidR="00F141CE" w:rsidRPr="00586FE7" w:rsidRDefault="00F141CE" w:rsidP="00F141CE">
            <w:pPr>
              <w:contextualSpacing/>
              <w:jc w:val="both"/>
              <w:rPr>
                <w:color w:val="000000"/>
              </w:rPr>
            </w:pPr>
            <w:r w:rsidRPr="00A14627">
              <w:rPr>
                <w:color w:val="000000"/>
                <w:sz w:val="22"/>
                <w:szCs w:val="22"/>
              </w:rPr>
              <w:t>A është hapur dhe mbyllur me vendim të Këshillit të Ministrave dhe me propozimin e ministrit institucioni arsimor privat, që zhvillon edhe lëndë fetare, ose është themeluar apo administruar nga bashkësia fetare, mbështetur në kërkesën e përfaqësuesve të bashkësive fetare?</w:t>
            </w:r>
          </w:p>
        </w:tc>
        <w:tc>
          <w:tcPr>
            <w:tcW w:w="567" w:type="dxa"/>
            <w:shd w:val="clear" w:color="auto" w:fill="auto"/>
          </w:tcPr>
          <w:p w14:paraId="765D5FB1" w14:textId="77777777" w:rsidR="00F141CE" w:rsidRPr="00586FE7" w:rsidRDefault="00F141CE" w:rsidP="00F141CE">
            <w:pPr>
              <w:contextualSpacing/>
              <w:rPr>
                <w:color w:val="000000"/>
                <w:sz w:val="22"/>
                <w:szCs w:val="22"/>
              </w:rPr>
            </w:pPr>
          </w:p>
        </w:tc>
        <w:tc>
          <w:tcPr>
            <w:tcW w:w="567" w:type="dxa"/>
            <w:shd w:val="clear" w:color="auto" w:fill="auto"/>
          </w:tcPr>
          <w:p w14:paraId="772CF951" w14:textId="77777777" w:rsidR="00F141CE" w:rsidRPr="00586FE7" w:rsidRDefault="00F141CE" w:rsidP="00F141CE">
            <w:pPr>
              <w:contextualSpacing/>
              <w:rPr>
                <w:color w:val="000000"/>
                <w:sz w:val="22"/>
                <w:szCs w:val="22"/>
              </w:rPr>
            </w:pPr>
          </w:p>
        </w:tc>
        <w:tc>
          <w:tcPr>
            <w:tcW w:w="709" w:type="dxa"/>
            <w:shd w:val="clear" w:color="auto" w:fill="auto"/>
          </w:tcPr>
          <w:p w14:paraId="1365878C" w14:textId="77777777" w:rsidR="00F141CE" w:rsidRPr="00586FE7" w:rsidRDefault="00F141CE" w:rsidP="00F141CE">
            <w:pPr>
              <w:contextualSpacing/>
              <w:rPr>
                <w:color w:val="000000"/>
                <w:sz w:val="22"/>
                <w:szCs w:val="22"/>
              </w:rPr>
            </w:pPr>
          </w:p>
        </w:tc>
        <w:tc>
          <w:tcPr>
            <w:tcW w:w="1138" w:type="dxa"/>
            <w:shd w:val="clear" w:color="auto" w:fill="auto"/>
            <w:noWrap/>
          </w:tcPr>
          <w:p w14:paraId="390DC7B9" w14:textId="77777777" w:rsidR="00F141CE" w:rsidRPr="00586FE7" w:rsidRDefault="00F141CE" w:rsidP="00F141CE">
            <w:pPr>
              <w:contextualSpacing/>
              <w:rPr>
                <w:color w:val="000000"/>
                <w:sz w:val="22"/>
                <w:szCs w:val="22"/>
              </w:rPr>
            </w:pPr>
          </w:p>
        </w:tc>
      </w:tr>
      <w:tr w:rsidR="00F141CE" w:rsidRPr="00586FE7" w14:paraId="34BBF130" w14:textId="77777777" w:rsidTr="005A7CF9">
        <w:trPr>
          <w:trHeight w:val="945"/>
          <w:jc w:val="center"/>
        </w:trPr>
        <w:tc>
          <w:tcPr>
            <w:tcW w:w="572" w:type="dxa"/>
            <w:shd w:val="clear" w:color="auto" w:fill="auto"/>
            <w:noWrap/>
          </w:tcPr>
          <w:p w14:paraId="6EA34C82"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09BB15A2" w14:textId="440148D9" w:rsidR="00F141CE" w:rsidRPr="00586FE7" w:rsidRDefault="00F141CE" w:rsidP="0016172D">
            <w:pPr>
              <w:contextualSpacing/>
              <w:jc w:val="both"/>
              <w:rPr>
                <w:color w:val="000000"/>
              </w:rPr>
            </w:pPr>
            <w:r w:rsidRPr="00A14627">
              <w:rPr>
                <w:color w:val="000000"/>
                <w:sz w:val="22"/>
                <w:szCs w:val="22"/>
              </w:rPr>
              <w:t>Pika 5, Neni 42, Kreu VI, Ligji 69/12</w:t>
            </w:r>
          </w:p>
        </w:tc>
        <w:tc>
          <w:tcPr>
            <w:tcW w:w="5103" w:type="dxa"/>
            <w:shd w:val="clear" w:color="auto" w:fill="auto"/>
          </w:tcPr>
          <w:p w14:paraId="6939ABCF" w14:textId="0054754B" w:rsidR="00F141CE" w:rsidRPr="00586FE7" w:rsidRDefault="00F141CE" w:rsidP="00F141CE">
            <w:pPr>
              <w:contextualSpacing/>
              <w:jc w:val="both"/>
              <w:rPr>
                <w:color w:val="000000"/>
              </w:rPr>
            </w:pPr>
            <w:r w:rsidRPr="00A14627">
              <w:rPr>
                <w:color w:val="000000"/>
                <w:sz w:val="22"/>
                <w:szCs w:val="22"/>
              </w:rPr>
              <w:t>A është hapur/mbyllur me vendim të Këshillit të Ministrave, me propozimin e ministrit shkolla private, në të cilën mësimi zhvillohet edhe në gjuhë të huaj, ose që lëshon diplomë të huaj apo të ngjashme me të?</w:t>
            </w:r>
          </w:p>
        </w:tc>
        <w:tc>
          <w:tcPr>
            <w:tcW w:w="567" w:type="dxa"/>
            <w:shd w:val="clear" w:color="auto" w:fill="auto"/>
          </w:tcPr>
          <w:p w14:paraId="64811ABC" w14:textId="77777777" w:rsidR="00F141CE" w:rsidRPr="00586FE7" w:rsidRDefault="00F141CE" w:rsidP="00F141CE">
            <w:pPr>
              <w:contextualSpacing/>
              <w:rPr>
                <w:color w:val="000000"/>
                <w:sz w:val="22"/>
                <w:szCs w:val="22"/>
              </w:rPr>
            </w:pPr>
          </w:p>
        </w:tc>
        <w:tc>
          <w:tcPr>
            <w:tcW w:w="567" w:type="dxa"/>
            <w:shd w:val="clear" w:color="auto" w:fill="auto"/>
          </w:tcPr>
          <w:p w14:paraId="47EB85C6" w14:textId="77777777" w:rsidR="00F141CE" w:rsidRPr="00586FE7" w:rsidRDefault="00F141CE" w:rsidP="00F141CE">
            <w:pPr>
              <w:contextualSpacing/>
              <w:rPr>
                <w:color w:val="000000"/>
                <w:sz w:val="22"/>
                <w:szCs w:val="22"/>
              </w:rPr>
            </w:pPr>
          </w:p>
        </w:tc>
        <w:tc>
          <w:tcPr>
            <w:tcW w:w="709" w:type="dxa"/>
            <w:shd w:val="clear" w:color="auto" w:fill="auto"/>
          </w:tcPr>
          <w:p w14:paraId="3177D0DA" w14:textId="77777777" w:rsidR="00F141CE" w:rsidRPr="00586FE7" w:rsidRDefault="00F141CE" w:rsidP="00F141CE">
            <w:pPr>
              <w:contextualSpacing/>
              <w:rPr>
                <w:color w:val="000000"/>
                <w:sz w:val="22"/>
                <w:szCs w:val="22"/>
              </w:rPr>
            </w:pPr>
          </w:p>
        </w:tc>
        <w:tc>
          <w:tcPr>
            <w:tcW w:w="1138" w:type="dxa"/>
            <w:shd w:val="clear" w:color="auto" w:fill="auto"/>
            <w:noWrap/>
          </w:tcPr>
          <w:p w14:paraId="5C93FF74" w14:textId="77777777" w:rsidR="00F141CE" w:rsidRPr="00586FE7" w:rsidRDefault="00F141CE" w:rsidP="00F141CE">
            <w:pPr>
              <w:contextualSpacing/>
              <w:rPr>
                <w:color w:val="000000"/>
                <w:sz w:val="22"/>
                <w:szCs w:val="22"/>
              </w:rPr>
            </w:pPr>
          </w:p>
        </w:tc>
      </w:tr>
      <w:tr w:rsidR="00F141CE" w:rsidRPr="00586FE7" w14:paraId="48884570" w14:textId="77777777" w:rsidTr="005A7CF9">
        <w:trPr>
          <w:trHeight w:val="945"/>
          <w:jc w:val="center"/>
        </w:trPr>
        <w:tc>
          <w:tcPr>
            <w:tcW w:w="572" w:type="dxa"/>
            <w:shd w:val="clear" w:color="auto" w:fill="auto"/>
            <w:noWrap/>
          </w:tcPr>
          <w:p w14:paraId="56C95019"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0412A807" w14:textId="43246429" w:rsidR="00F141CE" w:rsidRPr="00586FE7" w:rsidRDefault="00F141CE" w:rsidP="0016172D">
            <w:pPr>
              <w:contextualSpacing/>
              <w:jc w:val="both"/>
              <w:rPr>
                <w:color w:val="000000"/>
              </w:rPr>
            </w:pPr>
            <w:r w:rsidRPr="00A14627">
              <w:rPr>
                <w:color w:val="000000"/>
                <w:sz w:val="22"/>
                <w:szCs w:val="22"/>
              </w:rPr>
              <w:t>Pika 6, Neni 42, Kreu VI, Ligji 69/12</w:t>
            </w:r>
          </w:p>
        </w:tc>
        <w:tc>
          <w:tcPr>
            <w:tcW w:w="5103" w:type="dxa"/>
            <w:shd w:val="clear" w:color="auto" w:fill="auto"/>
          </w:tcPr>
          <w:p w14:paraId="5AC4B8F5" w14:textId="66234F49" w:rsidR="00F141CE" w:rsidRPr="00586FE7" w:rsidRDefault="00F141CE" w:rsidP="00F141CE">
            <w:pPr>
              <w:contextualSpacing/>
              <w:jc w:val="both"/>
              <w:rPr>
                <w:color w:val="000000"/>
              </w:rPr>
            </w:pPr>
            <w:r w:rsidRPr="00A14627">
              <w:rPr>
                <w:color w:val="000000"/>
                <w:sz w:val="22"/>
                <w:szCs w:val="22"/>
              </w:rPr>
              <w:t>A i zhvillon shkolla private, e cila zhvillohen lëndë fetare, ose arsimim në gjuhë të huaj, detyrimisht në gjuhën shqipe lëndët: gjuhë shqipe dhe letërsi, histori e kombit shqiptar dhe gjeografi e Shqipërisë?</w:t>
            </w:r>
          </w:p>
        </w:tc>
        <w:tc>
          <w:tcPr>
            <w:tcW w:w="567" w:type="dxa"/>
            <w:shd w:val="clear" w:color="auto" w:fill="auto"/>
          </w:tcPr>
          <w:p w14:paraId="47F8737C" w14:textId="77777777" w:rsidR="00F141CE" w:rsidRPr="00586FE7" w:rsidRDefault="00F141CE" w:rsidP="00F141CE">
            <w:pPr>
              <w:contextualSpacing/>
              <w:rPr>
                <w:color w:val="000000"/>
                <w:sz w:val="22"/>
                <w:szCs w:val="22"/>
              </w:rPr>
            </w:pPr>
          </w:p>
        </w:tc>
        <w:tc>
          <w:tcPr>
            <w:tcW w:w="567" w:type="dxa"/>
            <w:shd w:val="clear" w:color="auto" w:fill="auto"/>
          </w:tcPr>
          <w:p w14:paraId="217325C7" w14:textId="77777777" w:rsidR="00F141CE" w:rsidRPr="00586FE7" w:rsidRDefault="00F141CE" w:rsidP="00F141CE">
            <w:pPr>
              <w:contextualSpacing/>
              <w:rPr>
                <w:color w:val="000000"/>
                <w:sz w:val="22"/>
                <w:szCs w:val="22"/>
              </w:rPr>
            </w:pPr>
          </w:p>
        </w:tc>
        <w:tc>
          <w:tcPr>
            <w:tcW w:w="709" w:type="dxa"/>
            <w:shd w:val="clear" w:color="auto" w:fill="auto"/>
          </w:tcPr>
          <w:p w14:paraId="597D12F1" w14:textId="77777777" w:rsidR="00F141CE" w:rsidRPr="00586FE7" w:rsidRDefault="00F141CE" w:rsidP="00F141CE">
            <w:pPr>
              <w:contextualSpacing/>
              <w:rPr>
                <w:color w:val="000000"/>
                <w:sz w:val="22"/>
                <w:szCs w:val="22"/>
              </w:rPr>
            </w:pPr>
          </w:p>
        </w:tc>
        <w:tc>
          <w:tcPr>
            <w:tcW w:w="1138" w:type="dxa"/>
            <w:shd w:val="clear" w:color="auto" w:fill="auto"/>
            <w:noWrap/>
          </w:tcPr>
          <w:p w14:paraId="2E4C849D" w14:textId="77777777" w:rsidR="00F141CE" w:rsidRPr="00586FE7" w:rsidRDefault="00F141CE" w:rsidP="00F141CE">
            <w:pPr>
              <w:contextualSpacing/>
              <w:rPr>
                <w:color w:val="000000"/>
                <w:sz w:val="22"/>
                <w:szCs w:val="22"/>
              </w:rPr>
            </w:pPr>
          </w:p>
        </w:tc>
      </w:tr>
      <w:tr w:rsidR="00F141CE" w:rsidRPr="00586FE7" w14:paraId="5BF76F48" w14:textId="77777777" w:rsidTr="005A7CF9">
        <w:trPr>
          <w:trHeight w:val="945"/>
          <w:jc w:val="center"/>
        </w:trPr>
        <w:tc>
          <w:tcPr>
            <w:tcW w:w="572" w:type="dxa"/>
            <w:shd w:val="clear" w:color="auto" w:fill="auto"/>
            <w:noWrap/>
          </w:tcPr>
          <w:p w14:paraId="150D530C"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3B37A4F6" w14:textId="73A59C4D" w:rsidR="00F141CE" w:rsidRPr="00586FE7" w:rsidRDefault="00F141CE" w:rsidP="0016172D">
            <w:pPr>
              <w:contextualSpacing/>
              <w:jc w:val="both"/>
              <w:rPr>
                <w:color w:val="000000"/>
              </w:rPr>
            </w:pPr>
            <w:r w:rsidRPr="00A14627">
              <w:rPr>
                <w:color w:val="000000"/>
                <w:sz w:val="22"/>
                <w:szCs w:val="22"/>
              </w:rPr>
              <w:t>Pika 7, Neni 42, Kreu VI, Ligji</w:t>
            </w:r>
            <w:r>
              <w:rPr>
                <w:color w:val="000000"/>
                <w:sz w:val="22"/>
                <w:szCs w:val="22"/>
              </w:rPr>
              <w:t xml:space="preserve">, </w:t>
            </w:r>
            <w:r w:rsidRPr="00A14627">
              <w:rPr>
                <w:color w:val="222222"/>
                <w:sz w:val="22"/>
                <w:szCs w:val="22"/>
              </w:rPr>
              <w:t># me 48/18 dhe 44/23)</w:t>
            </w:r>
          </w:p>
        </w:tc>
        <w:tc>
          <w:tcPr>
            <w:tcW w:w="5103" w:type="dxa"/>
            <w:shd w:val="clear" w:color="auto" w:fill="auto"/>
          </w:tcPr>
          <w:p w14:paraId="60C054A5" w14:textId="336A2EAF" w:rsidR="00F141CE" w:rsidRPr="00586FE7" w:rsidRDefault="00F141CE" w:rsidP="00F141CE">
            <w:pPr>
              <w:contextualSpacing/>
              <w:jc w:val="both"/>
              <w:rPr>
                <w:color w:val="000000"/>
              </w:rPr>
            </w:pPr>
            <w:r w:rsidRPr="00A14627">
              <w:rPr>
                <w:color w:val="000000"/>
                <w:sz w:val="22"/>
                <w:szCs w:val="22"/>
              </w:rPr>
              <w:t>A e ka ndërprerë institucioni arsimor privat dhe institucioni arsimor plotësues privat veprimtarinë me iniciativën e vet vetëm në fund të vitit shkollor?</w:t>
            </w:r>
          </w:p>
        </w:tc>
        <w:tc>
          <w:tcPr>
            <w:tcW w:w="567" w:type="dxa"/>
            <w:shd w:val="clear" w:color="auto" w:fill="auto"/>
          </w:tcPr>
          <w:p w14:paraId="4D7C31A1" w14:textId="77777777" w:rsidR="00F141CE" w:rsidRPr="00586FE7" w:rsidRDefault="00F141CE" w:rsidP="00F141CE">
            <w:pPr>
              <w:contextualSpacing/>
              <w:rPr>
                <w:color w:val="000000"/>
                <w:sz w:val="22"/>
                <w:szCs w:val="22"/>
              </w:rPr>
            </w:pPr>
          </w:p>
        </w:tc>
        <w:tc>
          <w:tcPr>
            <w:tcW w:w="567" w:type="dxa"/>
            <w:shd w:val="clear" w:color="auto" w:fill="auto"/>
          </w:tcPr>
          <w:p w14:paraId="3088D8B6" w14:textId="77777777" w:rsidR="00F141CE" w:rsidRPr="00586FE7" w:rsidRDefault="00F141CE" w:rsidP="00F141CE">
            <w:pPr>
              <w:contextualSpacing/>
              <w:rPr>
                <w:color w:val="000000"/>
                <w:sz w:val="22"/>
                <w:szCs w:val="22"/>
              </w:rPr>
            </w:pPr>
          </w:p>
        </w:tc>
        <w:tc>
          <w:tcPr>
            <w:tcW w:w="709" w:type="dxa"/>
            <w:shd w:val="clear" w:color="auto" w:fill="auto"/>
          </w:tcPr>
          <w:p w14:paraId="0CEE9530" w14:textId="77777777" w:rsidR="00F141CE" w:rsidRPr="00586FE7" w:rsidRDefault="00F141CE" w:rsidP="00F141CE">
            <w:pPr>
              <w:contextualSpacing/>
              <w:rPr>
                <w:color w:val="000000"/>
                <w:sz w:val="22"/>
                <w:szCs w:val="22"/>
              </w:rPr>
            </w:pPr>
          </w:p>
        </w:tc>
        <w:tc>
          <w:tcPr>
            <w:tcW w:w="1138" w:type="dxa"/>
            <w:shd w:val="clear" w:color="auto" w:fill="auto"/>
            <w:noWrap/>
          </w:tcPr>
          <w:p w14:paraId="37DE0876" w14:textId="77777777" w:rsidR="00F141CE" w:rsidRPr="00586FE7" w:rsidRDefault="00F141CE" w:rsidP="00F141CE">
            <w:pPr>
              <w:contextualSpacing/>
              <w:rPr>
                <w:color w:val="000000"/>
                <w:sz w:val="22"/>
                <w:szCs w:val="22"/>
              </w:rPr>
            </w:pPr>
          </w:p>
        </w:tc>
      </w:tr>
      <w:tr w:rsidR="00F141CE" w:rsidRPr="00586FE7" w14:paraId="3DEA0896" w14:textId="77777777" w:rsidTr="005A7CF9">
        <w:trPr>
          <w:trHeight w:val="945"/>
          <w:jc w:val="center"/>
        </w:trPr>
        <w:tc>
          <w:tcPr>
            <w:tcW w:w="572" w:type="dxa"/>
            <w:shd w:val="clear" w:color="auto" w:fill="auto"/>
            <w:noWrap/>
          </w:tcPr>
          <w:p w14:paraId="7B92EC11"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4E774036" w14:textId="0B8DBB08" w:rsidR="00F141CE" w:rsidRPr="00586FE7" w:rsidRDefault="00F141CE" w:rsidP="0016172D">
            <w:pPr>
              <w:contextualSpacing/>
              <w:jc w:val="both"/>
              <w:rPr>
                <w:color w:val="000000"/>
              </w:rPr>
            </w:pPr>
            <w:r w:rsidRPr="00A14627">
              <w:rPr>
                <w:color w:val="000000"/>
                <w:sz w:val="22"/>
                <w:szCs w:val="22"/>
              </w:rPr>
              <w:t>Pika 7, Neni 42, Kreu VI, Ligji 69/12</w:t>
            </w:r>
            <w:r>
              <w:rPr>
                <w:color w:val="000000"/>
                <w:sz w:val="22"/>
                <w:szCs w:val="22"/>
              </w:rPr>
              <w:t xml:space="preserve">, </w:t>
            </w:r>
            <w:r w:rsidRPr="00A14627">
              <w:rPr>
                <w:color w:val="000000"/>
                <w:sz w:val="22"/>
                <w:szCs w:val="22"/>
              </w:rPr>
              <w:t>(</w:t>
            </w:r>
            <w:r w:rsidRPr="00A14627">
              <w:rPr>
                <w:color w:val="222222"/>
                <w:sz w:val="22"/>
                <w:szCs w:val="22"/>
              </w:rPr>
              <w:t># me 48/18 dhe 44/23)</w:t>
            </w:r>
          </w:p>
        </w:tc>
        <w:tc>
          <w:tcPr>
            <w:tcW w:w="5103" w:type="dxa"/>
            <w:shd w:val="clear" w:color="auto" w:fill="auto"/>
          </w:tcPr>
          <w:p w14:paraId="4FE73128" w14:textId="4B5C509D" w:rsidR="00F141CE" w:rsidRPr="00586FE7" w:rsidRDefault="00F141CE" w:rsidP="00F141CE">
            <w:pPr>
              <w:contextualSpacing/>
              <w:jc w:val="both"/>
              <w:rPr>
                <w:color w:val="000000"/>
              </w:rPr>
            </w:pPr>
            <w:r w:rsidRPr="00A14627">
              <w:rPr>
                <w:color w:val="000000"/>
                <w:sz w:val="22"/>
                <w:szCs w:val="22"/>
              </w:rPr>
              <w:t xml:space="preserve">A i është revokuar licenca dhe </w:t>
            </w:r>
            <w:r>
              <w:rPr>
                <w:color w:val="000000"/>
                <w:sz w:val="22"/>
                <w:szCs w:val="22"/>
              </w:rPr>
              <w:t xml:space="preserve">a </w:t>
            </w:r>
            <w:r w:rsidRPr="00A14627">
              <w:rPr>
                <w:color w:val="000000"/>
                <w:sz w:val="22"/>
                <w:szCs w:val="22"/>
              </w:rPr>
              <w:t>është publikuar vendimi për revokimin e licencës në Regjistrin Kombëtar të Licencave, Autorizimeve dhe Lejeve institucionit arsimor privat dhe institucioni arsimor plotësues privat me shkelje të kritereve të licencimit?</w:t>
            </w:r>
          </w:p>
        </w:tc>
        <w:tc>
          <w:tcPr>
            <w:tcW w:w="567" w:type="dxa"/>
            <w:shd w:val="clear" w:color="auto" w:fill="auto"/>
          </w:tcPr>
          <w:p w14:paraId="7355A7B1" w14:textId="77777777" w:rsidR="00F141CE" w:rsidRPr="00586FE7" w:rsidRDefault="00F141CE" w:rsidP="00F141CE">
            <w:pPr>
              <w:contextualSpacing/>
              <w:rPr>
                <w:color w:val="000000"/>
                <w:sz w:val="22"/>
                <w:szCs w:val="22"/>
              </w:rPr>
            </w:pPr>
          </w:p>
        </w:tc>
        <w:tc>
          <w:tcPr>
            <w:tcW w:w="567" w:type="dxa"/>
            <w:shd w:val="clear" w:color="auto" w:fill="auto"/>
          </w:tcPr>
          <w:p w14:paraId="380F1B2D" w14:textId="77777777" w:rsidR="00F141CE" w:rsidRPr="00586FE7" w:rsidRDefault="00F141CE" w:rsidP="00F141CE">
            <w:pPr>
              <w:contextualSpacing/>
              <w:rPr>
                <w:color w:val="000000"/>
                <w:sz w:val="22"/>
                <w:szCs w:val="22"/>
              </w:rPr>
            </w:pPr>
          </w:p>
        </w:tc>
        <w:tc>
          <w:tcPr>
            <w:tcW w:w="709" w:type="dxa"/>
            <w:shd w:val="clear" w:color="auto" w:fill="auto"/>
          </w:tcPr>
          <w:p w14:paraId="36925A26" w14:textId="77777777" w:rsidR="00F141CE" w:rsidRPr="00586FE7" w:rsidRDefault="00F141CE" w:rsidP="00F141CE">
            <w:pPr>
              <w:contextualSpacing/>
              <w:rPr>
                <w:color w:val="000000"/>
                <w:sz w:val="22"/>
                <w:szCs w:val="22"/>
              </w:rPr>
            </w:pPr>
          </w:p>
        </w:tc>
        <w:tc>
          <w:tcPr>
            <w:tcW w:w="1138" w:type="dxa"/>
            <w:shd w:val="clear" w:color="auto" w:fill="auto"/>
            <w:noWrap/>
          </w:tcPr>
          <w:p w14:paraId="2799449D" w14:textId="77777777" w:rsidR="00F141CE" w:rsidRPr="00586FE7" w:rsidRDefault="00F141CE" w:rsidP="00F141CE">
            <w:pPr>
              <w:contextualSpacing/>
              <w:rPr>
                <w:color w:val="000000"/>
                <w:sz w:val="22"/>
                <w:szCs w:val="22"/>
              </w:rPr>
            </w:pPr>
          </w:p>
        </w:tc>
      </w:tr>
      <w:tr w:rsidR="00F141CE" w:rsidRPr="00586FE7" w14:paraId="22FD3DD0" w14:textId="77777777" w:rsidTr="005A7CF9">
        <w:trPr>
          <w:trHeight w:val="945"/>
          <w:jc w:val="center"/>
        </w:trPr>
        <w:tc>
          <w:tcPr>
            <w:tcW w:w="572" w:type="dxa"/>
            <w:shd w:val="clear" w:color="auto" w:fill="auto"/>
            <w:noWrap/>
          </w:tcPr>
          <w:p w14:paraId="1A871AD2"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4C1CA602" w14:textId="39218818" w:rsidR="00F141CE" w:rsidRPr="00586FE7" w:rsidRDefault="00F141CE" w:rsidP="0016172D">
            <w:pPr>
              <w:contextualSpacing/>
              <w:jc w:val="both"/>
              <w:rPr>
                <w:color w:val="000000"/>
              </w:rPr>
            </w:pPr>
            <w:r w:rsidRPr="00A14627">
              <w:rPr>
                <w:color w:val="000000"/>
                <w:sz w:val="22"/>
                <w:szCs w:val="22"/>
              </w:rPr>
              <w:t>Pika 1, Neni 43, Kreu VI, Ligji 69/12</w:t>
            </w:r>
          </w:p>
        </w:tc>
        <w:tc>
          <w:tcPr>
            <w:tcW w:w="5103" w:type="dxa"/>
            <w:shd w:val="clear" w:color="auto" w:fill="auto"/>
          </w:tcPr>
          <w:p w14:paraId="02196BA7" w14:textId="566ED3BD" w:rsidR="00F141CE" w:rsidRPr="00586FE7" w:rsidRDefault="00F141CE" w:rsidP="00F141CE">
            <w:pPr>
              <w:contextualSpacing/>
              <w:jc w:val="both"/>
              <w:rPr>
                <w:color w:val="000000"/>
              </w:rPr>
            </w:pPr>
            <w:r w:rsidRPr="00A14627">
              <w:rPr>
                <w:color w:val="000000"/>
                <w:sz w:val="22"/>
                <w:szCs w:val="22"/>
              </w:rPr>
              <w:t>A e përdor institucioni arsimor privat licencën vetëm për subjektin përgjegjës dhe vetëm për atë nivel arsimor, vendndodhje dhe mjedise, për të cilat i është dhënë fillimisht?</w:t>
            </w:r>
          </w:p>
        </w:tc>
        <w:tc>
          <w:tcPr>
            <w:tcW w:w="567" w:type="dxa"/>
            <w:shd w:val="clear" w:color="auto" w:fill="auto"/>
          </w:tcPr>
          <w:p w14:paraId="24439FBD" w14:textId="77777777" w:rsidR="00F141CE" w:rsidRPr="00586FE7" w:rsidRDefault="00F141CE" w:rsidP="00F141CE">
            <w:pPr>
              <w:contextualSpacing/>
              <w:rPr>
                <w:color w:val="000000"/>
                <w:sz w:val="22"/>
                <w:szCs w:val="22"/>
              </w:rPr>
            </w:pPr>
          </w:p>
        </w:tc>
        <w:tc>
          <w:tcPr>
            <w:tcW w:w="567" w:type="dxa"/>
            <w:shd w:val="clear" w:color="auto" w:fill="auto"/>
          </w:tcPr>
          <w:p w14:paraId="5153E6BC" w14:textId="77777777" w:rsidR="00F141CE" w:rsidRPr="00586FE7" w:rsidRDefault="00F141CE" w:rsidP="00F141CE">
            <w:pPr>
              <w:contextualSpacing/>
              <w:rPr>
                <w:color w:val="000000"/>
                <w:sz w:val="22"/>
                <w:szCs w:val="22"/>
              </w:rPr>
            </w:pPr>
          </w:p>
        </w:tc>
        <w:tc>
          <w:tcPr>
            <w:tcW w:w="709" w:type="dxa"/>
            <w:shd w:val="clear" w:color="auto" w:fill="auto"/>
          </w:tcPr>
          <w:p w14:paraId="1AC7994F" w14:textId="77777777" w:rsidR="00F141CE" w:rsidRPr="00586FE7" w:rsidRDefault="00F141CE" w:rsidP="00F141CE">
            <w:pPr>
              <w:contextualSpacing/>
              <w:rPr>
                <w:color w:val="000000"/>
                <w:sz w:val="22"/>
                <w:szCs w:val="22"/>
              </w:rPr>
            </w:pPr>
          </w:p>
        </w:tc>
        <w:tc>
          <w:tcPr>
            <w:tcW w:w="1138" w:type="dxa"/>
            <w:shd w:val="clear" w:color="auto" w:fill="auto"/>
            <w:noWrap/>
          </w:tcPr>
          <w:p w14:paraId="76512B76" w14:textId="77777777" w:rsidR="00F141CE" w:rsidRPr="00586FE7" w:rsidRDefault="00F141CE" w:rsidP="00F141CE">
            <w:pPr>
              <w:contextualSpacing/>
              <w:rPr>
                <w:color w:val="000000"/>
                <w:sz w:val="22"/>
                <w:szCs w:val="22"/>
              </w:rPr>
            </w:pPr>
          </w:p>
        </w:tc>
      </w:tr>
      <w:tr w:rsidR="00F141CE" w:rsidRPr="00586FE7" w14:paraId="041BD8E8" w14:textId="77777777" w:rsidTr="005A7CF9">
        <w:trPr>
          <w:trHeight w:val="945"/>
          <w:jc w:val="center"/>
        </w:trPr>
        <w:tc>
          <w:tcPr>
            <w:tcW w:w="572" w:type="dxa"/>
            <w:shd w:val="clear" w:color="auto" w:fill="auto"/>
            <w:noWrap/>
          </w:tcPr>
          <w:p w14:paraId="717B74FA"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28439E8C" w14:textId="74BDDD63" w:rsidR="00F141CE" w:rsidRPr="00586FE7" w:rsidRDefault="00F141CE" w:rsidP="0016172D">
            <w:pPr>
              <w:contextualSpacing/>
              <w:jc w:val="both"/>
              <w:rPr>
                <w:color w:val="000000"/>
              </w:rPr>
            </w:pPr>
            <w:r w:rsidRPr="00A14627">
              <w:rPr>
                <w:color w:val="000000"/>
                <w:sz w:val="22"/>
                <w:szCs w:val="22"/>
              </w:rPr>
              <w:t>Pika 1, Neni 43, Kreu VI, Ligji 69/12</w:t>
            </w:r>
          </w:p>
        </w:tc>
        <w:tc>
          <w:tcPr>
            <w:tcW w:w="5103" w:type="dxa"/>
            <w:shd w:val="clear" w:color="auto" w:fill="auto"/>
          </w:tcPr>
          <w:p w14:paraId="452620EC" w14:textId="32E3161A" w:rsidR="00F141CE" w:rsidRPr="00586FE7" w:rsidRDefault="00F141CE" w:rsidP="00F141CE">
            <w:pPr>
              <w:contextualSpacing/>
              <w:jc w:val="both"/>
              <w:rPr>
                <w:color w:val="000000"/>
              </w:rPr>
            </w:pPr>
            <w:r w:rsidRPr="00A14627">
              <w:rPr>
                <w:color w:val="000000"/>
                <w:sz w:val="22"/>
                <w:szCs w:val="22"/>
              </w:rPr>
              <w:t xml:space="preserve">A është miratuar nga ministri dhe institucioni përgjegjës për licencimin çdo ndryshim i bërë nga ana e subjektit të licencuar? </w:t>
            </w:r>
          </w:p>
        </w:tc>
        <w:tc>
          <w:tcPr>
            <w:tcW w:w="567" w:type="dxa"/>
            <w:shd w:val="clear" w:color="auto" w:fill="auto"/>
          </w:tcPr>
          <w:p w14:paraId="62C9E32F" w14:textId="77777777" w:rsidR="00F141CE" w:rsidRPr="00586FE7" w:rsidRDefault="00F141CE" w:rsidP="00F141CE">
            <w:pPr>
              <w:contextualSpacing/>
              <w:rPr>
                <w:color w:val="000000"/>
                <w:sz w:val="22"/>
                <w:szCs w:val="22"/>
              </w:rPr>
            </w:pPr>
          </w:p>
        </w:tc>
        <w:tc>
          <w:tcPr>
            <w:tcW w:w="567" w:type="dxa"/>
            <w:shd w:val="clear" w:color="auto" w:fill="auto"/>
          </w:tcPr>
          <w:p w14:paraId="761D8007" w14:textId="77777777" w:rsidR="00F141CE" w:rsidRPr="00586FE7" w:rsidRDefault="00F141CE" w:rsidP="00F141CE">
            <w:pPr>
              <w:contextualSpacing/>
              <w:rPr>
                <w:color w:val="000000"/>
                <w:sz w:val="22"/>
                <w:szCs w:val="22"/>
              </w:rPr>
            </w:pPr>
          </w:p>
        </w:tc>
        <w:tc>
          <w:tcPr>
            <w:tcW w:w="709" w:type="dxa"/>
            <w:shd w:val="clear" w:color="auto" w:fill="auto"/>
          </w:tcPr>
          <w:p w14:paraId="64C57358" w14:textId="77777777" w:rsidR="00F141CE" w:rsidRPr="00586FE7" w:rsidRDefault="00F141CE" w:rsidP="00F141CE">
            <w:pPr>
              <w:contextualSpacing/>
              <w:rPr>
                <w:color w:val="000000"/>
                <w:sz w:val="22"/>
                <w:szCs w:val="22"/>
              </w:rPr>
            </w:pPr>
          </w:p>
        </w:tc>
        <w:tc>
          <w:tcPr>
            <w:tcW w:w="1138" w:type="dxa"/>
            <w:shd w:val="clear" w:color="auto" w:fill="auto"/>
            <w:noWrap/>
          </w:tcPr>
          <w:p w14:paraId="05E6D8E7" w14:textId="77777777" w:rsidR="00F141CE" w:rsidRPr="00586FE7" w:rsidRDefault="00F141CE" w:rsidP="00F141CE">
            <w:pPr>
              <w:contextualSpacing/>
              <w:rPr>
                <w:color w:val="000000"/>
                <w:sz w:val="22"/>
                <w:szCs w:val="22"/>
              </w:rPr>
            </w:pPr>
          </w:p>
        </w:tc>
      </w:tr>
      <w:tr w:rsidR="00F141CE" w:rsidRPr="00586FE7" w14:paraId="4D0AA463" w14:textId="77777777" w:rsidTr="005A7CF9">
        <w:trPr>
          <w:trHeight w:val="817"/>
          <w:jc w:val="center"/>
        </w:trPr>
        <w:tc>
          <w:tcPr>
            <w:tcW w:w="572" w:type="dxa"/>
            <w:shd w:val="clear" w:color="auto" w:fill="auto"/>
            <w:noWrap/>
          </w:tcPr>
          <w:p w14:paraId="6E4D4C76"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267B3C4F" w14:textId="4CD3B617" w:rsidR="00F141CE" w:rsidRPr="00586FE7" w:rsidRDefault="00F141CE" w:rsidP="0016172D">
            <w:pPr>
              <w:contextualSpacing/>
              <w:jc w:val="both"/>
              <w:rPr>
                <w:color w:val="000000"/>
              </w:rPr>
            </w:pPr>
            <w:r w:rsidRPr="00A14627">
              <w:rPr>
                <w:color w:val="000000"/>
                <w:sz w:val="22"/>
                <w:szCs w:val="22"/>
              </w:rPr>
              <w:t>Pika 1, Neni 43, Kreu VI, Ligji 69/12</w:t>
            </w:r>
          </w:p>
        </w:tc>
        <w:tc>
          <w:tcPr>
            <w:tcW w:w="5103" w:type="dxa"/>
            <w:shd w:val="clear" w:color="auto" w:fill="auto"/>
          </w:tcPr>
          <w:p w14:paraId="60C57CD6" w14:textId="70FD779B" w:rsidR="00F141CE" w:rsidRPr="00586FE7" w:rsidRDefault="00F141CE" w:rsidP="00F141CE">
            <w:pPr>
              <w:contextualSpacing/>
              <w:jc w:val="both"/>
              <w:rPr>
                <w:color w:val="000000"/>
              </w:rPr>
            </w:pPr>
            <w:r w:rsidRPr="00A14627">
              <w:rPr>
                <w:color w:val="000000"/>
                <w:sz w:val="22"/>
                <w:szCs w:val="22"/>
              </w:rPr>
              <w:t xml:space="preserve">A është revokuar licenca dhe është bërë aplikim i ri në rast se ndryshimet e bëra kanë të bëjnë me kriteret e licencimit? </w:t>
            </w:r>
          </w:p>
        </w:tc>
        <w:tc>
          <w:tcPr>
            <w:tcW w:w="567" w:type="dxa"/>
            <w:shd w:val="clear" w:color="auto" w:fill="auto"/>
          </w:tcPr>
          <w:p w14:paraId="13530B4A" w14:textId="77777777" w:rsidR="00F141CE" w:rsidRPr="00586FE7" w:rsidRDefault="00F141CE" w:rsidP="00F141CE">
            <w:pPr>
              <w:contextualSpacing/>
              <w:rPr>
                <w:color w:val="000000"/>
                <w:sz w:val="22"/>
                <w:szCs w:val="22"/>
              </w:rPr>
            </w:pPr>
          </w:p>
        </w:tc>
        <w:tc>
          <w:tcPr>
            <w:tcW w:w="567" w:type="dxa"/>
            <w:shd w:val="clear" w:color="auto" w:fill="auto"/>
          </w:tcPr>
          <w:p w14:paraId="73E4DEC9" w14:textId="77777777" w:rsidR="00F141CE" w:rsidRPr="00586FE7" w:rsidRDefault="00F141CE" w:rsidP="00F141CE">
            <w:pPr>
              <w:contextualSpacing/>
              <w:rPr>
                <w:color w:val="000000"/>
                <w:sz w:val="22"/>
                <w:szCs w:val="22"/>
              </w:rPr>
            </w:pPr>
          </w:p>
        </w:tc>
        <w:tc>
          <w:tcPr>
            <w:tcW w:w="709" w:type="dxa"/>
            <w:shd w:val="clear" w:color="auto" w:fill="auto"/>
          </w:tcPr>
          <w:p w14:paraId="2E43BB1C" w14:textId="77777777" w:rsidR="00F141CE" w:rsidRPr="00586FE7" w:rsidRDefault="00F141CE" w:rsidP="00F141CE">
            <w:pPr>
              <w:contextualSpacing/>
              <w:rPr>
                <w:color w:val="000000"/>
                <w:sz w:val="22"/>
                <w:szCs w:val="22"/>
              </w:rPr>
            </w:pPr>
          </w:p>
        </w:tc>
        <w:tc>
          <w:tcPr>
            <w:tcW w:w="1138" w:type="dxa"/>
            <w:shd w:val="clear" w:color="auto" w:fill="auto"/>
            <w:noWrap/>
          </w:tcPr>
          <w:p w14:paraId="776DDED6" w14:textId="77777777" w:rsidR="00F141CE" w:rsidRPr="00586FE7" w:rsidRDefault="00F141CE" w:rsidP="00F141CE">
            <w:pPr>
              <w:contextualSpacing/>
              <w:rPr>
                <w:color w:val="000000"/>
                <w:sz w:val="22"/>
                <w:szCs w:val="22"/>
              </w:rPr>
            </w:pPr>
          </w:p>
        </w:tc>
      </w:tr>
      <w:tr w:rsidR="00F141CE" w:rsidRPr="00586FE7" w14:paraId="5404A979" w14:textId="77777777" w:rsidTr="005A7CF9">
        <w:trPr>
          <w:trHeight w:val="673"/>
          <w:jc w:val="center"/>
        </w:trPr>
        <w:tc>
          <w:tcPr>
            <w:tcW w:w="572" w:type="dxa"/>
            <w:shd w:val="clear" w:color="auto" w:fill="auto"/>
            <w:noWrap/>
          </w:tcPr>
          <w:p w14:paraId="0DB19AC7"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tcPr>
          <w:p w14:paraId="718B6C01" w14:textId="14C65CC5" w:rsidR="00F141CE" w:rsidRPr="00586FE7" w:rsidRDefault="00F141CE" w:rsidP="0016172D">
            <w:pPr>
              <w:contextualSpacing/>
              <w:jc w:val="both"/>
              <w:rPr>
                <w:color w:val="000000"/>
                <w:sz w:val="22"/>
                <w:szCs w:val="22"/>
              </w:rPr>
            </w:pPr>
            <w:r w:rsidRPr="00586FE7">
              <w:rPr>
                <w:color w:val="000000"/>
                <w:sz w:val="22"/>
                <w:szCs w:val="22"/>
              </w:rPr>
              <w:t>Pika 1, Neni 69, Kreu XIII, Ligji 69/12</w:t>
            </w:r>
            <w:r>
              <w:rPr>
                <w:color w:val="000000"/>
                <w:sz w:val="22"/>
                <w:szCs w:val="22"/>
              </w:rPr>
              <w:t xml:space="preserve"> </w:t>
            </w:r>
          </w:p>
        </w:tc>
        <w:tc>
          <w:tcPr>
            <w:tcW w:w="5103" w:type="dxa"/>
            <w:shd w:val="clear" w:color="auto" w:fill="auto"/>
          </w:tcPr>
          <w:p w14:paraId="0CBB468C" w14:textId="6AD2490F" w:rsidR="00F141CE" w:rsidRPr="00586FE7" w:rsidRDefault="00F141CE" w:rsidP="00F141CE">
            <w:pPr>
              <w:contextualSpacing/>
              <w:jc w:val="both"/>
              <w:rPr>
                <w:color w:val="000000"/>
                <w:sz w:val="22"/>
                <w:szCs w:val="22"/>
              </w:rPr>
            </w:pPr>
            <w:r w:rsidRPr="00586FE7">
              <w:rPr>
                <w:color w:val="000000"/>
                <w:sz w:val="22"/>
                <w:szCs w:val="22"/>
              </w:rPr>
              <w:t>A përbën kundërvajtje administrative hapja dhe ushtrimi i veprimtarisë së institucion</w:t>
            </w:r>
            <w:r w:rsidR="00CC6030">
              <w:rPr>
                <w:color w:val="000000"/>
                <w:sz w:val="22"/>
                <w:szCs w:val="22"/>
              </w:rPr>
              <w:t>it</w:t>
            </w:r>
            <w:r w:rsidRPr="00586FE7">
              <w:rPr>
                <w:color w:val="000000"/>
                <w:sz w:val="22"/>
                <w:szCs w:val="22"/>
              </w:rPr>
              <w:t xml:space="preserve"> arsimor privat pa licencën përkatëse, sipas këtij ligji? </w:t>
            </w:r>
          </w:p>
        </w:tc>
        <w:tc>
          <w:tcPr>
            <w:tcW w:w="567" w:type="dxa"/>
            <w:shd w:val="clear" w:color="auto" w:fill="auto"/>
          </w:tcPr>
          <w:p w14:paraId="078E16CB" w14:textId="77777777" w:rsidR="00F141CE" w:rsidRPr="00586FE7" w:rsidRDefault="00F141CE" w:rsidP="00F141CE">
            <w:pPr>
              <w:contextualSpacing/>
              <w:rPr>
                <w:color w:val="000000"/>
                <w:sz w:val="22"/>
                <w:szCs w:val="22"/>
              </w:rPr>
            </w:pPr>
          </w:p>
        </w:tc>
        <w:tc>
          <w:tcPr>
            <w:tcW w:w="567" w:type="dxa"/>
            <w:shd w:val="clear" w:color="auto" w:fill="auto"/>
          </w:tcPr>
          <w:p w14:paraId="710D2A7B" w14:textId="77777777" w:rsidR="00F141CE" w:rsidRPr="00586FE7" w:rsidRDefault="00F141CE" w:rsidP="00F141CE">
            <w:pPr>
              <w:contextualSpacing/>
              <w:rPr>
                <w:color w:val="000000"/>
                <w:sz w:val="22"/>
                <w:szCs w:val="22"/>
              </w:rPr>
            </w:pPr>
          </w:p>
        </w:tc>
        <w:tc>
          <w:tcPr>
            <w:tcW w:w="709" w:type="dxa"/>
            <w:shd w:val="clear" w:color="auto" w:fill="auto"/>
          </w:tcPr>
          <w:p w14:paraId="2123AE7E" w14:textId="77777777" w:rsidR="00F141CE" w:rsidRPr="00586FE7" w:rsidRDefault="00F141CE" w:rsidP="00F141CE">
            <w:pPr>
              <w:contextualSpacing/>
              <w:rPr>
                <w:color w:val="000000"/>
                <w:sz w:val="22"/>
                <w:szCs w:val="22"/>
              </w:rPr>
            </w:pPr>
          </w:p>
        </w:tc>
        <w:tc>
          <w:tcPr>
            <w:tcW w:w="1138" w:type="dxa"/>
            <w:shd w:val="clear" w:color="auto" w:fill="auto"/>
            <w:noWrap/>
          </w:tcPr>
          <w:p w14:paraId="70E9CA59" w14:textId="77777777" w:rsidR="00F141CE" w:rsidRPr="00586FE7" w:rsidRDefault="00F141CE" w:rsidP="00F141CE">
            <w:pPr>
              <w:contextualSpacing/>
              <w:rPr>
                <w:color w:val="000000"/>
                <w:sz w:val="22"/>
                <w:szCs w:val="22"/>
              </w:rPr>
            </w:pPr>
          </w:p>
        </w:tc>
      </w:tr>
      <w:tr w:rsidR="0016172D" w:rsidRPr="00586FE7" w14:paraId="4F2E51DA" w14:textId="77777777" w:rsidTr="005A7CF9">
        <w:trPr>
          <w:trHeight w:val="507"/>
          <w:jc w:val="center"/>
        </w:trPr>
        <w:tc>
          <w:tcPr>
            <w:tcW w:w="572" w:type="dxa"/>
            <w:shd w:val="clear" w:color="auto" w:fill="auto"/>
            <w:noWrap/>
          </w:tcPr>
          <w:p w14:paraId="7434DDD1"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hideMark/>
          </w:tcPr>
          <w:p w14:paraId="2B2E8434" w14:textId="77777777" w:rsidR="00F141CE" w:rsidRPr="00586FE7" w:rsidRDefault="00F141CE" w:rsidP="0016172D">
            <w:pPr>
              <w:contextualSpacing/>
              <w:jc w:val="both"/>
              <w:rPr>
                <w:color w:val="000000"/>
              </w:rPr>
            </w:pPr>
            <w:r w:rsidRPr="00586FE7">
              <w:rPr>
                <w:color w:val="000000"/>
                <w:sz w:val="22"/>
                <w:szCs w:val="22"/>
              </w:rPr>
              <w:t>Pika 1, Neni 69, Kreu XIII, Ligji 69/12</w:t>
            </w:r>
            <w:r>
              <w:rPr>
                <w:color w:val="000000"/>
                <w:sz w:val="22"/>
                <w:szCs w:val="22"/>
              </w:rPr>
              <w:t xml:space="preserve"> </w:t>
            </w:r>
            <w:r w:rsidRPr="00586FE7">
              <w:rPr>
                <w:color w:val="000000"/>
                <w:sz w:val="22"/>
                <w:szCs w:val="22"/>
              </w:rPr>
              <w:t> </w:t>
            </w:r>
          </w:p>
        </w:tc>
        <w:tc>
          <w:tcPr>
            <w:tcW w:w="5103" w:type="dxa"/>
            <w:shd w:val="clear" w:color="auto" w:fill="auto"/>
            <w:hideMark/>
          </w:tcPr>
          <w:p w14:paraId="32927A4F" w14:textId="15263FC9" w:rsidR="00F141CE" w:rsidRPr="00586FE7" w:rsidRDefault="00F141CE" w:rsidP="00F141CE">
            <w:pPr>
              <w:contextualSpacing/>
              <w:jc w:val="both"/>
              <w:rPr>
                <w:color w:val="000000"/>
              </w:rPr>
            </w:pPr>
            <w:r w:rsidRPr="00586FE7">
              <w:rPr>
                <w:color w:val="000000"/>
                <w:sz w:val="22"/>
                <w:szCs w:val="22"/>
              </w:rPr>
              <w:t xml:space="preserve">A </w:t>
            </w:r>
            <w:r>
              <w:rPr>
                <w:color w:val="000000"/>
                <w:sz w:val="22"/>
                <w:szCs w:val="22"/>
              </w:rPr>
              <w:t>dënohet</w:t>
            </w:r>
            <w:r w:rsidRPr="00586FE7">
              <w:rPr>
                <w:color w:val="000000"/>
                <w:sz w:val="22"/>
                <w:szCs w:val="22"/>
              </w:rPr>
              <w:t xml:space="preserve"> kundërvajtësi me dënim administrativ kryesor gjobë, në vlerën nga 500 000 deri në 1 000 000 lekë, dhe me dënim administrativ plotësues “ndërprerjen e menjëhershme të veprimtarisë”? </w:t>
            </w:r>
          </w:p>
        </w:tc>
        <w:tc>
          <w:tcPr>
            <w:tcW w:w="567" w:type="dxa"/>
            <w:hideMark/>
          </w:tcPr>
          <w:p w14:paraId="386B041D" w14:textId="77777777" w:rsidR="00F141CE" w:rsidRPr="00586FE7" w:rsidRDefault="00F141CE" w:rsidP="00F141CE">
            <w:pPr>
              <w:contextualSpacing/>
              <w:rPr>
                <w:color w:val="000000"/>
              </w:rPr>
            </w:pPr>
          </w:p>
        </w:tc>
        <w:tc>
          <w:tcPr>
            <w:tcW w:w="567" w:type="dxa"/>
            <w:shd w:val="clear" w:color="auto" w:fill="auto"/>
            <w:hideMark/>
          </w:tcPr>
          <w:p w14:paraId="7C899716" w14:textId="77777777" w:rsidR="00F141CE" w:rsidRPr="00586FE7" w:rsidRDefault="00F141CE" w:rsidP="00F141CE">
            <w:pPr>
              <w:contextualSpacing/>
              <w:rPr>
                <w:color w:val="000000"/>
              </w:rPr>
            </w:pPr>
            <w:r w:rsidRPr="00586FE7">
              <w:rPr>
                <w:color w:val="000000"/>
                <w:sz w:val="22"/>
                <w:szCs w:val="22"/>
              </w:rPr>
              <w:t> </w:t>
            </w:r>
          </w:p>
        </w:tc>
        <w:tc>
          <w:tcPr>
            <w:tcW w:w="709" w:type="dxa"/>
            <w:hideMark/>
          </w:tcPr>
          <w:p w14:paraId="45761CEE" w14:textId="77777777" w:rsidR="00F141CE" w:rsidRPr="00586FE7" w:rsidRDefault="00F141CE" w:rsidP="00F141CE">
            <w:pPr>
              <w:contextualSpacing/>
              <w:rPr>
                <w:color w:val="000000"/>
              </w:rPr>
            </w:pPr>
          </w:p>
        </w:tc>
        <w:tc>
          <w:tcPr>
            <w:tcW w:w="1138" w:type="dxa"/>
            <w:shd w:val="clear" w:color="auto" w:fill="auto"/>
            <w:noWrap/>
            <w:hideMark/>
          </w:tcPr>
          <w:p w14:paraId="5F40ACB4" w14:textId="77777777" w:rsidR="00F141CE" w:rsidRPr="00586FE7" w:rsidRDefault="00F141CE" w:rsidP="00F141CE">
            <w:pPr>
              <w:contextualSpacing/>
              <w:rPr>
                <w:color w:val="000000"/>
              </w:rPr>
            </w:pPr>
            <w:r w:rsidRPr="00586FE7">
              <w:rPr>
                <w:color w:val="000000"/>
                <w:sz w:val="22"/>
                <w:szCs w:val="22"/>
              </w:rPr>
              <w:t> </w:t>
            </w:r>
          </w:p>
        </w:tc>
      </w:tr>
      <w:tr w:rsidR="0016172D" w:rsidRPr="00586FE7" w14:paraId="23F7A9C4" w14:textId="77777777" w:rsidTr="005A7CF9">
        <w:trPr>
          <w:trHeight w:val="272"/>
          <w:jc w:val="center"/>
        </w:trPr>
        <w:tc>
          <w:tcPr>
            <w:tcW w:w="572" w:type="dxa"/>
            <w:shd w:val="clear" w:color="auto" w:fill="auto"/>
            <w:noWrap/>
          </w:tcPr>
          <w:p w14:paraId="3F06F794" w14:textId="77777777" w:rsidR="00F141CE" w:rsidRPr="00884E31" w:rsidRDefault="00F141CE" w:rsidP="00F141CE">
            <w:pPr>
              <w:pStyle w:val="Paragrafiilists"/>
              <w:numPr>
                <w:ilvl w:val="0"/>
                <w:numId w:val="1"/>
              </w:numPr>
              <w:jc w:val="center"/>
              <w:rPr>
                <w:rFonts w:ascii="Times New Roman" w:hAnsi="Times New Roman" w:cs="Times New Roman"/>
                <w:color w:val="000000"/>
                <w:lang w:val="sq-AL"/>
              </w:rPr>
            </w:pPr>
          </w:p>
        </w:tc>
        <w:tc>
          <w:tcPr>
            <w:tcW w:w="1559" w:type="dxa"/>
            <w:shd w:val="clear" w:color="auto" w:fill="auto"/>
            <w:noWrap/>
            <w:hideMark/>
          </w:tcPr>
          <w:p w14:paraId="0954CB60" w14:textId="548B8C60" w:rsidR="00F141CE" w:rsidRPr="00586FE7" w:rsidRDefault="00F141CE" w:rsidP="0016172D">
            <w:pPr>
              <w:contextualSpacing/>
              <w:jc w:val="both"/>
              <w:rPr>
                <w:color w:val="000000"/>
              </w:rPr>
            </w:pPr>
            <w:r w:rsidRPr="00586FE7">
              <w:rPr>
                <w:color w:val="000000"/>
                <w:sz w:val="22"/>
                <w:szCs w:val="22"/>
              </w:rPr>
              <w:t>Pika 2, Neni 69, Kreu XIII, Ligji 69/12</w:t>
            </w:r>
            <w:r>
              <w:rPr>
                <w:color w:val="000000"/>
                <w:sz w:val="22"/>
                <w:szCs w:val="22"/>
              </w:rPr>
              <w:t xml:space="preserve"> </w:t>
            </w:r>
            <w:r w:rsidRPr="00586FE7">
              <w:rPr>
                <w:color w:val="000000"/>
                <w:sz w:val="22"/>
                <w:szCs w:val="22"/>
              </w:rPr>
              <w:t>(# me 44/23)</w:t>
            </w:r>
            <w:r>
              <w:rPr>
                <w:color w:val="000000"/>
                <w:sz w:val="22"/>
                <w:szCs w:val="22"/>
              </w:rPr>
              <w:t xml:space="preserve"> </w:t>
            </w:r>
          </w:p>
          <w:p w14:paraId="150AD6DA" w14:textId="77777777" w:rsidR="00F141CE" w:rsidRPr="00586FE7" w:rsidRDefault="00F141CE" w:rsidP="0016172D">
            <w:pPr>
              <w:contextualSpacing/>
              <w:jc w:val="both"/>
              <w:rPr>
                <w:color w:val="000000"/>
              </w:rPr>
            </w:pPr>
            <w:r w:rsidRPr="00586FE7">
              <w:rPr>
                <w:color w:val="000000"/>
                <w:sz w:val="22"/>
                <w:szCs w:val="22"/>
              </w:rPr>
              <w:t> </w:t>
            </w:r>
          </w:p>
        </w:tc>
        <w:tc>
          <w:tcPr>
            <w:tcW w:w="5103" w:type="dxa"/>
            <w:shd w:val="clear" w:color="auto" w:fill="auto"/>
            <w:hideMark/>
          </w:tcPr>
          <w:p w14:paraId="5BE12CC7" w14:textId="707CB7A0" w:rsidR="00F141CE" w:rsidRPr="00586FE7" w:rsidRDefault="00F141CE" w:rsidP="00F141CE">
            <w:pPr>
              <w:contextualSpacing/>
              <w:jc w:val="both"/>
              <w:rPr>
                <w:color w:val="000000"/>
              </w:rPr>
            </w:pPr>
            <w:r w:rsidRPr="00586FE7">
              <w:rPr>
                <w:color w:val="000000"/>
                <w:sz w:val="22"/>
                <w:szCs w:val="22"/>
              </w:rPr>
              <w:t xml:space="preserve">A </w:t>
            </w:r>
            <w:r w:rsidR="001F4AE6">
              <w:rPr>
                <w:color w:val="000000"/>
                <w:sz w:val="22"/>
                <w:szCs w:val="22"/>
              </w:rPr>
              <w:t>merret</w:t>
            </w:r>
            <w:r w:rsidRPr="00586FE7">
              <w:rPr>
                <w:color w:val="000000"/>
                <w:sz w:val="22"/>
                <w:szCs w:val="22"/>
              </w:rPr>
              <w:t xml:space="preserve"> </w:t>
            </w:r>
            <w:r w:rsidR="001F4AE6">
              <w:rPr>
                <w:color w:val="000000"/>
                <w:sz w:val="22"/>
                <w:szCs w:val="22"/>
              </w:rPr>
              <w:t>nga</w:t>
            </w:r>
            <w:r w:rsidRPr="00586FE7">
              <w:rPr>
                <w:color w:val="000000"/>
                <w:sz w:val="22"/>
                <w:szCs w:val="22"/>
              </w:rPr>
              <w:t xml:space="preserve"> institucioni përgjegjës për ofrimin dhe sigurimin e shërbimit arsimor në vend me konstatimin e shkeljes nga inspektori i autorizuar nga</w:t>
            </w:r>
            <w:r>
              <w:rPr>
                <w:color w:val="000000"/>
                <w:sz w:val="22"/>
                <w:szCs w:val="22"/>
              </w:rPr>
              <w:t xml:space="preserve"> </w:t>
            </w:r>
            <w:r w:rsidRPr="00586FE7">
              <w:rPr>
                <w:color w:val="000000"/>
                <w:sz w:val="22"/>
                <w:szCs w:val="22"/>
              </w:rPr>
              <w:t>institucioni përgjegjës për ofrimin dhe sigurimin e shërbimit arsimor sipas legjislacionit për inspektimin, vendimi për dënimin e kundërvajtësit, sipas pikës 1 të këtij neni?</w:t>
            </w:r>
          </w:p>
        </w:tc>
        <w:tc>
          <w:tcPr>
            <w:tcW w:w="567" w:type="dxa"/>
            <w:shd w:val="clear" w:color="auto" w:fill="auto"/>
            <w:hideMark/>
          </w:tcPr>
          <w:p w14:paraId="687FC859" w14:textId="77777777" w:rsidR="00F141CE" w:rsidRPr="00586FE7" w:rsidRDefault="00F141CE" w:rsidP="00F141CE">
            <w:pPr>
              <w:contextualSpacing/>
              <w:rPr>
                <w:color w:val="000000"/>
              </w:rPr>
            </w:pPr>
            <w:r w:rsidRPr="00586FE7">
              <w:rPr>
                <w:color w:val="000000"/>
                <w:sz w:val="22"/>
                <w:szCs w:val="22"/>
              </w:rPr>
              <w:t> </w:t>
            </w:r>
          </w:p>
        </w:tc>
        <w:tc>
          <w:tcPr>
            <w:tcW w:w="567" w:type="dxa"/>
            <w:shd w:val="clear" w:color="auto" w:fill="auto"/>
            <w:hideMark/>
          </w:tcPr>
          <w:p w14:paraId="0935FA6B" w14:textId="77777777" w:rsidR="00F141CE" w:rsidRPr="00586FE7" w:rsidRDefault="00F141CE" w:rsidP="00F141CE">
            <w:pPr>
              <w:contextualSpacing/>
              <w:rPr>
                <w:color w:val="000000"/>
              </w:rPr>
            </w:pPr>
            <w:r w:rsidRPr="00586FE7">
              <w:rPr>
                <w:color w:val="000000"/>
                <w:sz w:val="22"/>
                <w:szCs w:val="22"/>
              </w:rPr>
              <w:t> </w:t>
            </w:r>
          </w:p>
          <w:p w14:paraId="76D4868D" w14:textId="77777777" w:rsidR="00F141CE" w:rsidRPr="00586FE7" w:rsidRDefault="00F141CE" w:rsidP="00F141CE">
            <w:pPr>
              <w:contextualSpacing/>
              <w:rPr>
                <w:color w:val="000000"/>
              </w:rPr>
            </w:pPr>
            <w:r w:rsidRPr="00586FE7">
              <w:rPr>
                <w:color w:val="000000"/>
                <w:sz w:val="22"/>
                <w:szCs w:val="22"/>
              </w:rPr>
              <w:t> </w:t>
            </w:r>
          </w:p>
        </w:tc>
        <w:tc>
          <w:tcPr>
            <w:tcW w:w="709" w:type="dxa"/>
            <w:shd w:val="clear" w:color="auto" w:fill="auto"/>
            <w:hideMark/>
          </w:tcPr>
          <w:p w14:paraId="523ACB74" w14:textId="77777777" w:rsidR="00F141CE" w:rsidRPr="00586FE7" w:rsidRDefault="00F141CE" w:rsidP="00F141CE">
            <w:pPr>
              <w:contextualSpacing/>
              <w:rPr>
                <w:color w:val="000000"/>
              </w:rPr>
            </w:pPr>
            <w:r w:rsidRPr="00586FE7">
              <w:rPr>
                <w:color w:val="000000"/>
                <w:sz w:val="22"/>
                <w:szCs w:val="22"/>
              </w:rPr>
              <w:t> </w:t>
            </w:r>
          </w:p>
        </w:tc>
        <w:tc>
          <w:tcPr>
            <w:tcW w:w="1138" w:type="dxa"/>
            <w:shd w:val="clear" w:color="auto" w:fill="auto"/>
            <w:noWrap/>
            <w:hideMark/>
          </w:tcPr>
          <w:p w14:paraId="349C0146" w14:textId="77777777" w:rsidR="00F141CE" w:rsidRPr="00586FE7" w:rsidRDefault="00F141CE" w:rsidP="00F141CE">
            <w:pPr>
              <w:contextualSpacing/>
              <w:rPr>
                <w:color w:val="000000"/>
              </w:rPr>
            </w:pPr>
            <w:r w:rsidRPr="00586FE7">
              <w:rPr>
                <w:color w:val="000000"/>
                <w:sz w:val="22"/>
                <w:szCs w:val="22"/>
              </w:rPr>
              <w:t> </w:t>
            </w:r>
          </w:p>
          <w:p w14:paraId="5FE9B5FE" w14:textId="77777777" w:rsidR="00F141CE" w:rsidRPr="00586FE7" w:rsidRDefault="00F141CE" w:rsidP="00F141CE">
            <w:pPr>
              <w:contextualSpacing/>
              <w:rPr>
                <w:color w:val="000000"/>
              </w:rPr>
            </w:pPr>
            <w:r w:rsidRPr="00586FE7">
              <w:rPr>
                <w:color w:val="000000"/>
                <w:sz w:val="22"/>
                <w:szCs w:val="22"/>
              </w:rPr>
              <w:t> </w:t>
            </w:r>
          </w:p>
        </w:tc>
      </w:tr>
      <w:bookmarkEnd w:id="0"/>
    </w:tbl>
    <w:p w14:paraId="40E64F6F" w14:textId="77777777" w:rsidR="00884E31" w:rsidRDefault="00884E31" w:rsidP="00884E31">
      <w:pPr>
        <w:tabs>
          <w:tab w:val="left" w:pos="5670"/>
        </w:tabs>
        <w:spacing w:line="276" w:lineRule="auto"/>
        <w:jc w:val="both"/>
        <w:rPr>
          <w:i/>
          <w:color w:val="FF0000"/>
          <w:sz w:val="22"/>
          <w:szCs w:val="22"/>
        </w:rPr>
      </w:pPr>
    </w:p>
    <w:p w14:paraId="5E822E30" w14:textId="6607054A" w:rsidR="00884E31" w:rsidRPr="00A8286B" w:rsidRDefault="00884E31" w:rsidP="00884E31">
      <w:pPr>
        <w:tabs>
          <w:tab w:val="left" w:pos="5670"/>
        </w:tabs>
        <w:spacing w:before="240" w:after="240" w:line="276" w:lineRule="auto"/>
        <w:jc w:val="both"/>
        <w:rPr>
          <w:b/>
          <w:bCs/>
        </w:rPr>
      </w:pPr>
      <w:bookmarkStart w:id="1" w:name="_Hlk152762699"/>
      <w:r w:rsidRPr="00A8286B">
        <w:rPr>
          <w:b/>
          <w:bCs/>
        </w:rPr>
        <w:t>GRUPI I INSPEKTIMIT</w:t>
      </w:r>
      <w:r w:rsidRPr="00A8286B">
        <w:rPr>
          <w:b/>
          <w:bCs/>
        </w:rPr>
        <w:tab/>
      </w:r>
      <w:r w:rsidRPr="00A8286B">
        <w:rPr>
          <w:b/>
          <w:bCs/>
        </w:rPr>
        <w:tab/>
        <w:t>DREJTORI I SHKOLL</w:t>
      </w:r>
      <w:r>
        <w:rPr>
          <w:b/>
          <w:bCs/>
        </w:rPr>
        <w:t>Ë</w:t>
      </w:r>
      <w:r w:rsidRPr="00A8286B">
        <w:rPr>
          <w:b/>
          <w:bCs/>
        </w:rPr>
        <w:t>S</w:t>
      </w:r>
    </w:p>
    <w:bookmarkEnd w:id="1"/>
    <w:p w14:paraId="4332D19C" w14:textId="77777777" w:rsidR="00884E31" w:rsidRPr="00A8286B" w:rsidRDefault="00884E31" w:rsidP="00884E31">
      <w:pPr>
        <w:tabs>
          <w:tab w:val="left" w:pos="5670"/>
        </w:tabs>
        <w:spacing w:before="240" w:after="240" w:line="276" w:lineRule="auto"/>
        <w:jc w:val="both"/>
        <w:rPr>
          <w:b/>
          <w:bCs/>
        </w:rPr>
      </w:pPr>
      <w:r w:rsidRPr="00A8286B">
        <w:rPr>
          <w:b/>
          <w:bCs/>
        </w:rPr>
        <w:t>1.</w:t>
      </w:r>
    </w:p>
    <w:p w14:paraId="0FA03646" w14:textId="77777777" w:rsidR="00884E31" w:rsidRPr="00A8286B" w:rsidRDefault="00884E31" w:rsidP="00884E31">
      <w:pPr>
        <w:tabs>
          <w:tab w:val="left" w:pos="5670"/>
        </w:tabs>
        <w:spacing w:before="240" w:after="240" w:line="276" w:lineRule="auto"/>
        <w:jc w:val="both"/>
        <w:rPr>
          <w:b/>
          <w:bCs/>
          <w:i/>
          <w:color w:val="000000" w:themeColor="text1"/>
          <w:sz w:val="22"/>
          <w:szCs w:val="22"/>
        </w:rPr>
      </w:pPr>
      <w:r w:rsidRPr="00A8286B">
        <w:rPr>
          <w:b/>
          <w:bCs/>
        </w:rPr>
        <w:t>2.</w:t>
      </w:r>
    </w:p>
    <w:p w14:paraId="104EE4CA" w14:textId="77777777" w:rsidR="00884E31" w:rsidRPr="006B05D6" w:rsidRDefault="00884E31" w:rsidP="00884E31">
      <w:pPr>
        <w:tabs>
          <w:tab w:val="left" w:pos="5670"/>
        </w:tabs>
        <w:spacing w:line="276" w:lineRule="auto"/>
        <w:jc w:val="both"/>
        <w:rPr>
          <w:i/>
          <w:color w:val="000000" w:themeColor="text1"/>
          <w:sz w:val="22"/>
          <w:szCs w:val="22"/>
        </w:rPr>
      </w:pPr>
    </w:p>
    <w:p w14:paraId="7730B0EF" w14:textId="77777777" w:rsidR="003F5278" w:rsidRDefault="003F5278"/>
    <w:sectPr w:rsidR="003F5278" w:rsidSect="00840FC3">
      <w:pgSz w:w="12240" w:h="15840"/>
      <w:pgMar w:top="1260" w:right="1440" w:bottom="900" w:left="1440" w:header="720" w:footer="3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4E49"/>
    <w:multiLevelType w:val="hybridMultilevel"/>
    <w:tmpl w:val="17F80A7E"/>
    <w:lvl w:ilvl="0" w:tplc="041C000F">
      <w:start w:val="1"/>
      <w:numFmt w:val="decimal"/>
      <w:lvlText w:val="%1."/>
      <w:lvlJc w:val="left"/>
      <w:pPr>
        <w:ind w:left="502" w:hanging="360"/>
      </w:pPr>
    </w:lvl>
    <w:lvl w:ilvl="1" w:tplc="041C0019" w:tentative="1">
      <w:start w:val="1"/>
      <w:numFmt w:val="lowerLetter"/>
      <w:lvlText w:val="%2."/>
      <w:lvlJc w:val="left"/>
      <w:pPr>
        <w:ind w:left="1222" w:hanging="360"/>
      </w:pPr>
    </w:lvl>
    <w:lvl w:ilvl="2" w:tplc="041C001B" w:tentative="1">
      <w:start w:val="1"/>
      <w:numFmt w:val="lowerRoman"/>
      <w:lvlText w:val="%3."/>
      <w:lvlJc w:val="right"/>
      <w:pPr>
        <w:ind w:left="1942" w:hanging="180"/>
      </w:pPr>
    </w:lvl>
    <w:lvl w:ilvl="3" w:tplc="041C000F" w:tentative="1">
      <w:start w:val="1"/>
      <w:numFmt w:val="decimal"/>
      <w:lvlText w:val="%4."/>
      <w:lvlJc w:val="left"/>
      <w:pPr>
        <w:ind w:left="2662" w:hanging="360"/>
      </w:pPr>
    </w:lvl>
    <w:lvl w:ilvl="4" w:tplc="041C0019" w:tentative="1">
      <w:start w:val="1"/>
      <w:numFmt w:val="lowerLetter"/>
      <w:lvlText w:val="%5."/>
      <w:lvlJc w:val="left"/>
      <w:pPr>
        <w:ind w:left="3382" w:hanging="360"/>
      </w:pPr>
    </w:lvl>
    <w:lvl w:ilvl="5" w:tplc="041C001B" w:tentative="1">
      <w:start w:val="1"/>
      <w:numFmt w:val="lowerRoman"/>
      <w:lvlText w:val="%6."/>
      <w:lvlJc w:val="right"/>
      <w:pPr>
        <w:ind w:left="4102" w:hanging="180"/>
      </w:pPr>
    </w:lvl>
    <w:lvl w:ilvl="6" w:tplc="041C000F" w:tentative="1">
      <w:start w:val="1"/>
      <w:numFmt w:val="decimal"/>
      <w:lvlText w:val="%7."/>
      <w:lvlJc w:val="left"/>
      <w:pPr>
        <w:ind w:left="4822" w:hanging="360"/>
      </w:pPr>
    </w:lvl>
    <w:lvl w:ilvl="7" w:tplc="041C0019" w:tentative="1">
      <w:start w:val="1"/>
      <w:numFmt w:val="lowerLetter"/>
      <w:lvlText w:val="%8."/>
      <w:lvlJc w:val="left"/>
      <w:pPr>
        <w:ind w:left="5542" w:hanging="360"/>
      </w:pPr>
    </w:lvl>
    <w:lvl w:ilvl="8" w:tplc="041C001B" w:tentative="1">
      <w:start w:val="1"/>
      <w:numFmt w:val="lowerRoman"/>
      <w:lvlText w:val="%9."/>
      <w:lvlJc w:val="right"/>
      <w:pPr>
        <w:ind w:left="6262" w:hanging="180"/>
      </w:pPr>
    </w:lvl>
  </w:abstractNum>
  <w:num w:numId="1" w16cid:durableId="203518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31"/>
    <w:rsid w:val="0016172D"/>
    <w:rsid w:val="001F4AE6"/>
    <w:rsid w:val="003F5278"/>
    <w:rsid w:val="005A7CF9"/>
    <w:rsid w:val="0066773A"/>
    <w:rsid w:val="00884E31"/>
    <w:rsid w:val="00B11D00"/>
    <w:rsid w:val="00CC6030"/>
    <w:rsid w:val="00DF1685"/>
    <w:rsid w:val="00F141CE"/>
    <w:rsid w:val="00FE4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35E6"/>
  <w15:chartTrackingRefBased/>
  <w15:docId w15:val="{568D5541-67EB-4115-8B0D-5DA0F483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31"/>
    <w:pPr>
      <w:spacing w:after="0" w:line="240" w:lineRule="auto"/>
    </w:pPr>
    <w:rPr>
      <w:rFonts w:ascii="Times New Roman" w:eastAsia="Times New Roman" w:hAnsi="Times New Roman" w:cs="Times New Roman"/>
      <w:kern w:val="0"/>
      <w:sz w:val="24"/>
      <w:szCs w:val="24"/>
      <w:lang w:val="sq-AL"/>
      <w14:ligatures w14:val="none"/>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basedOn w:val="Normal"/>
    <w:uiPriority w:val="34"/>
    <w:qFormat/>
    <w:rsid w:val="00884E31"/>
    <w:pPr>
      <w:ind w:left="720"/>
      <w:contextualSpacing/>
    </w:pPr>
    <w:rPr>
      <w:rFonts w:asciiTheme="minorHAnsi" w:eastAsiaTheme="minorHAnsi" w:hAnsiTheme="minorHAnsi" w:cstheme="minorBidi"/>
      <w:lang w:val="en-US"/>
    </w:rPr>
  </w:style>
  <w:style w:type="paragraph" w:customStyle="1" w:styleId="Akti">
    <w:name w:val="Akti"/>
    <w:rsid w:val="00884E31"/>
    <w:pPr>
      <w:keepNext/>
      <w:widowControl w:val="0"/>
      <w:spacing w:after="0" w:line="240" w:lineRule="auto"/>
      <w:jc w:val="center"/>
      <w:outlineLvl w:val="0"/>
    </w:pPr>
    <w:rPr>
      <w:rFonts w:ascii="CG Times" w:eastAsia="MS Mincho" w:hAnsi="CG Times" w:cs="CG Times"/>
      <w:b/>
      <w:bCs/>
      <w:caps/>
      <w:color w:val="000000"/>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 Ucaj</dc:creator>
  <cp:keywords/>
  <dc:description/>
  <cp:lastModifiedBy>Majlinda Ucaj</cp:lastModifiedBy>
  <cp:revision>6</cp:revision>
  <dcterms:created xsi:type="dcterms:W3CDTF">2023-12-18T21:16:00Z</dcterms:created>
  <dcterms:modified xsi:type="dcterms:W3CDTF">2023-12-20T13:50:00Z</dcterms:modified>
</cp:coreProperties>
</file>